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noWrap w:val="0"/>
            <w:vAlign w:val="top"/>
          </w:tcPr>
          <w:p>
            <w:pPr>
              <w:adjustRightInd w:val="0"/>
              <w:snapToGrid w:val="0"/>
              <w:spacing w:line="440" w:lineRule="exact"/>
              <w:rPr>
                <w:rFonts w:hint="eastAsia"/>
                <w:sz w:val="24"/>
              </w:rPr>
            </w:pPr>
            <w:bookmarkStart w:id="0" w:name="_GoBack"/>
            <w:bookmarkEnd w:id="0"/>
            <w:r>
              <w:rPr>
                <w:rFonts w:hint="eastAsia"/>
                <w:sz w:val="24"/>
              </w:rPr>
              <w:t>证券代码：000881</w:t>
            </w:r>
          </w:p>
        </w:tc>
        <w:tc>
          <w:tcPr>
            <w:tcW w:w="1667" w:type="pct"/>
            <w:noWrap w:val="0"/>
            <w:vAlign w:val="top"/>
          </w:tcPr>
          <w:p>
            <w:pPr>
              <w:adjustRightInd w:val="0"/>
              <w:snapToGrid w:val="0"/>
              <w:spacing w:line="440" w:lineRule="exact"/>
              <w:jc w:val="center"/>
              <w:rPr>
                <w:rFonts w:hint="eastAsia"/>
                <w:sz w:val="24"/>
              </w:rPr>
            </w:pPr>
            <w:r>
              <w:rPr>
                <w:rFonts w:hint="eastAsia"/>
                <w:sz w:val="24"/>
              </w:rPr>
              <w:t>证券简称：中广核技</w:t>
            </w:r>
          </w:p>
        </w:tc>
        <w:tc>
          <w:tcPr>
            <w:tcW w:w="1667" w:type="pct"/>
            <w:noWrap w:val="0"/>
            <w:vAlign w:val="top"/>
          </w:tcPr>
          <w:p>
            <w:pPr>
              <w:adjustRightInd w:val="0"/>
              <w:snapToGrid w:val="0"/>
              <w:spacing w:line="440" w:lineRule="exact"/>
              <w:jc w:val="right"/>
              <w:rPr>
                <w:rFonts w:hint="default" w:eastAsia="宋体"/>
                <w:sz w:val="24"/>
                <w:lang w:val="en-US" w:eastAsia="zh-CN"/>
              </w:rPr>
            </w:pPr>
            <w:r>
              <w:rPr>
                <w:rFonts w:hint="eastAsia"/>
                <w:sz w:val="24"/>
              </w:rPr>
              <w:t>公告编号：202</w:t>
            </w:r>
            <w:r>
              <w:rPr>
                <w:rFonts w:hint="eastAsia"/>
                <w:sz w:val="24"/>
                <w:lang w:val="en-US" w:eastAsia="zh-CN"/>
              </w:rPr>
              <w:t>4</w:t>
            </w:r>
            <w:r>
              <w:rPr>
                <w:sz w:val="24"/>
              </w:rPr>
              <w:t>-</w:t>
            </w:r>
            <w:r>
              <w:rPr>
                <w:rFonts w:hint="eastAsia"/>
                <w:sz w:val="24"/>
              </w:rPr>
              <w:t>0</w:t>
            </w:r>
            <w:r>
              <w:rPr>
                <w:rFonts w:hint="eastAsia"/>
                <w:sz w:val="24"/>
                <w:lang w:val="en-US" w:eastAsia="zh-CN"/>
              </w:rPr>
              <w:t>37</w:t>
            </w:r>
          </w:p>
        </w:tc>
      </w:tr>
    </w:tbl>
    <w:p>
      <w:pPr>
        <w:snapToGrid w:val="0"/>
        <w:spacing w:before="156" w:beforeLines="50"/>
        <w:jc w:val="center"/>
        <w:rPr>
          <w:b/>
          <w:sz w:val="36"/>
          <w:szCs w:val="36"/>
        </w:rPr>
      </w:pPr>
      <w:r>
        <w:rPr>
          <w:rFonts w:hint="eastAsia"/>
          <w:b/>
          <w:sz w:val="36"/>
          <w:szCs w:val="36"/>
        </w:rPr>
        <w:t>中广核核技术发展股份有限公司</w:t>
      </w:r>
    </w:p>
    <w:p>
      <w:pPr>
        <w:snapToGrid w:val="0"/>
        <w:jc w:val="center"/>
        <w:rPr>
          <w:rFonts w:hint="eastAsia"/>
          <w:b/>
          <w:sz w:val="36"/>
          <w:szCs w:val="36"/>
        </w:rPr>
      </w:pPr>
      <w:r>
        <w:rPr>
          <w:rFonts w:hint="eastAsia"/>
          <w:b/>
          <w:sz w:val="36"/>
          <w:szCs w:val="36"/>
        </w:rPr>
        <w:t>关于部分限售股份上市流通的提示性公告</w:t>
      </w:r>
    </w:p>
    <w:p>
      <w:pPr>
        <w:snapToGrid w:val="0"/>
        <w:spacing w:before="156" w:beforeLines="50" w:line="360" w:lineRule="auto"/>
        <w:ind w:firstLine="422" w:firstLineChars="200"/>
        <w:rPr>
          <w:rFonts w:hint="eastAsia"/>
          <w:b/>
          <w:szCs w:val="21"/>
        </w:rPr>
      </w:pPr>
      <w:r>
        <w:rPr>
          <w:rFonts w:hint="eastAsia"/>
          <w:b/>
          <w:szCs w:val="21"/>
        </w:rPr>
        <w:t>本公司及董事会全体成员保证信息披露的内容真实、准确、完整，没有虚假记载、误导性陈述或者重大遗漏。</w:t>
      </w:r>
    </w:p>
    <w:p>
      <w:pPr>
        <w:spacing w:line="360" w:lineRule="auto"/>
        <w:ind w:firstLine="482" w:firstLineChars="200"/>
        <w:rPr>
          <w:rFonts w:hint="eastAsia"/>
          <w:b/>
          <w:sz w:val="24"/>
          <w:szCs w:val="24"/>
        </w:rPr>
      </w:pPr>
      <w:r>
        <w:rPr>
          <w:rFonts w:hint="eastAsia"/>
          <w:b/>
          <w:sz w:val="24"/>
          <w:szCs w:val="24"/>
        </w:rPr>
        <w:t>重要内容提示：</w:t>
      </w:r>
    </w:p>
    <w:p>
      <w:pPr>
        <w:adjustRightInd w:val="0"/>
        <w:snapToGrid w:val="0"/>
        <w:spacing w:line="360" w:lineRule="auto"/>
        <w:ind w:firstLine="480" w:firstLineChars="200"/>
        <w:rPr>
          <w:rFonts w:hint="eastAsia"/>
          <w:sz w:val="24"/>
          <w:szCs w:val="24"/>
        </w:rPr>
      </w:pPr>
      <w:r>
        <w:rPr>
          <w:rFonts w:hint="eastAsia"/>
          <w:sz w:val="24"/>
          <w:szCs w:val="24"/>
        </w:rPr>
        <w:t>1、本次解除限售的流通股涉及股东</w:t>
      </w:r>
      <w:r>
        <w:rPr>
          <w:rFonts w:hint="eastAsia"/>
          <w:sz w:val="24"/>
          <w:szCs w:val="24"/>
          <w:lang w:val="en-US" w:eastAsia="zh-CN"/>
        </w:rPr>
        <w:t>23</w:t>
      </w:r>
      <w:r>
        <w:rPr>
          <w:rFonts w:hint="eastAsia"/>
          <w:sz w:val="24"/>
          <w:szCs w:val="24"/>
        </w:rPr>
        <w:t>名，解除限售股份数量为14,349,358 股，占公司总股本的1.5178%；</w:t>
      </w:r>
    </w:p>
    <w:p>
      <w:pPr>
        <w:adjustRightInd w:val="0"/>
        <w:snapToGrid w:val="0"/>
        <w:spacing w:line="360" w:lineRule="auto"/>
        <w:ind w:firstLine="480" w:firstLineChars="200"/>
        <w:rPr>
          <w:rFonts w:hint="eastAsia" w:eastAsia="宋体"/>
          <w:b w:val="0"/>
          <w:bCs w:val="0"/>
          <w:sz w:val="24"/>
          <w:szCs w:val="24"/>
          <w:highlight w:val="none"/>
          <w:lang w:eastAsia="zh-CN"/>
        </w:rPr>
      </w:pPr>
      <w:r>
        <w:rPr>
          <w:sz w:val="24"/>
          <w:szCs w:val="24"/>
          <w:highlight w:val="none"/>
        </w:rPr>
        <w:t>2</w:t>
      </w:r>
      <w:r>
        <w:rPr>
          <w:rFonts w:hint="eastAsia"/>
          <w:sz w:val="24"/>
          <w:szCs w:val="24"/>
          <w:highlight w:val="none"/>
        </w:rPr>
        <w:t>、本次解除限售的流通股上市日期</w:t>
      </w:r>
      <w:r>
        <w:rPr>
          <w:rFonts w:hint="eastAsia"/>
          <w:b w:val="0"/>
          <w:bCs w:val="0"/>
          <w:sz w:val="24"/>
          <w:szCs w:val="24"/>
          <w:highlight w:val="none"/>
        </w:rPr>
        <w:t>为202</w:t>
      </w:r>
      <w:r>
        <w:rPr>
          <w:rFonts w:hint="eastAsia"/>
          <w:b w:val="0"/>
          <w:bCs w:val="0"/>
          <w:sz w:val="24"/>
          <w:szCs w:val="24"/>
          <w:highlight w:val="none"/>
          <w:lang w:val="en-US" w:eastAsia="zh-CN"/>
        </w:rPr>
        <w:t>4</w:t>
      </w:r>
      <w:r>
        <w:rPr>
          <w:rFonts w:hint="eastAsia"/>
          <w:b w:val="0"/>
          <w:bCs w:val="0"/>
          <w:sz w:val="24"/>
          <w:szCs w:val="24"/>
          <w:highlight w:val="none"/>
        </w:rPr>
        <w:t>年</w:t>
      </w:r>
      <w:r>
        <w:rPr>
          <w:rFonts w:hint="eastAsia"/>
          <w:b w:val="0"/>
          <w:bCs w:val="0"/>
          <w:sz w:val="24"/>
          <w:szCs w:val="24"/>
          <w:highlight w:val="none"/>
          <w:lang w:val="en-US" w:eastAsia="zh-CN"/>
        </w:rPr>
        <w:t>6</w:t>
      </w:r>
      <w:r>
        <w:rPr>
          <w:rFonts w:hint="eastAsia"/>
          <w:b w:val="0"/>
          <w:bCs w:val="0"/>
          <w:sz w:val="24"/>
          <w:szCs w:val="24"/>
          <w:highlight w:val="none"/>
        </w:rPr>
        <w:t>月</w:t>
      </w:r>
      <w:r>
        <w:rPr>
          <w:rFonts w:hint="eastAsia"/>
          <w:b w:val="0"/>
          <w:bCs w:val="0"/>
          <w:sz w:val="24"/>
          <w:szCs w:val="24"/>
          <w:highlight w:val="none"/>
          <w:lang w:val="en-US" w:eastAsia="zh-CN"/>
        </w:rPr>
        <w:t>5</w:t>
      </w:r>
      <w:r>
        <w:rPr>
          <w:rFonts w:hint="eastAsia"/>
          <w:b w:val="0"/>
          <w:bCs w:val="0"/>
          <w:sz w:val="24"/>
          <w:szCs w:val="24"/>
          <w:highlight w:val="none"/>
        </w:rPr>
        <w:t>日</w:t>
      </w:r>
      <w:r>
        <w:rPr>
          <w:rFonts w:hint="eastAsia"/>
          <w:b w:val="0"/>
          <w:bCs w:val="0"/>
          <w:sz w:val="24"/>
          <w:szCs w:val="24"/>
          <w:highlight w:val="none"/>
          <w:lang w:eastAsia="zh-CN"/>
        </w:rPr>
        <w:t>。</w:t>
      </w:r>
    </w:p>
    <w:p>
      <w:pPr>
        <w:adjustRightInd w:val="0"/>
        <w:snapToGrid w:val="0"/>
        <w:spacing w:before="156" w:beforeLines="50" w:line="360" w:lineRule="auto"/>
        <w:ind w:firstLine="482" w:firstLineChars="200"/>
        <w:outlineLvl w:val="0"/>
        <w:rPr>
          <w:b/>
          <w:color w:val="000000"/>
          <w:sz w:val="24"/>
          <w:szCs w:val="24"/>
        </w:rPr>
      </w:pPr>
      <w:r>
        <w:rPr>
          <w:rFonts w:hint="eastAsia"/>
          <w:b/>
          <w:color w:val="000000"/>
          <w:sz w:val="24"/>
          <w:szCs w:val="24"/>
        </w:rPr>
        <w:t>一、本次解除限售股份的基本情况</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经中国证券监督管理委员会（以下简称“中国证监会”）《关于核准中国大连国际合作（集团）股份有限公司向中广核核技术应用有限公司等发行股份购买资产并募集配套资金的批复》（证监许可</w:t>
      </w:r>
      <w:r>
        <w:rPr>
          <w:rFonts w:hint="eastAsia" w:ascii="宋体" w:hAnsi="宋体"/>
          <w:color w:val="000000"/>
          <w:sz w:val="24"/>
          <w:szCs w:val="24"/>
        </w:rPr>
        <w:t>[</w:t>
      </w:r>
      <w:r>
        <w:rPr>
          <w:rFonts w:hint="eastAsia"/>
          <w:color w:val="000000"/>
          <w:sz w:val="24"/>
          <w:szCs w:val="24"/>
        </w:rPr>
        <w:t>2016</w:t>
      </w:r>
      <w:r>
        <w:rPr>
          <w:rFonts w:hint="eastAsia" w:ascii="宋体" w:hAnsi="宋体"/>
          <w:color w:val="000000"/>
          <w:sz w:val="24"/>
          <w:szCs w:val="24"/>
        </w:rPr>
        <w:t>]</w:t>
      </w:r>
      <w:r>
        <w:rPr>
          <w:rFonts w:hint="eastAsia"/>
          <w:color w:val="000000"/>
          <w:sz w:val="24"/>
          <w:szCs w:val="24"/>
        </w:rPr>
        <w:t>2412号）核准，中广核核技术发展股份有限公司（原“中国大连国际合作（集团）股份有限公司”，以下简称</w:t>
      </w:r>
      <w:r>
        <w:rPr>
          <w:rFonts w:hint="eastAsia"/>
          <w:color w:val="000000"/>
          <w:sz w:val="24"/>
          <w:szCs w:val="24"/>
          <w:lang w:eastAsia="zh-CN"/>
        </w:rPr>
        <w:t>“</w:t>
      </w:r>
      <w:r>
        <w:rPr>
          <w:rFonts w:hint="eastAsia"/>
          <w:color w:val="000000"/>
          <w:sz w:val="24"/>
          <w:szCs w:val="24"/>
          <w:lang w:val="en-US" w:eastAsia="zh-CN"/>
        </w:rPr>
        <w:t>中广核技</w:t>
      </w:r>
      <w:r>
        <w:rPr>
          <w:rFonts w:hint="eastAsia"/>
          <w:color w:val="000000"/>
          <w:sz w:val="24"/>
          <w:szCs w:val="24"/>
          <w:lang w:eastAsia="zh-CN"/>
        </w:rPr>
        <w:t>”、</w:t>
      </w:r>
      <w:r>
        <w:rPr>
          <w:rFonts w:hint="eastAsia"/>
          <w:color w:val="000000"/>
          <w:sz w:val="24"/>
          <w:szCs w:val="24"/>
        </w:rPr>
        <w:t>“公司”、“上市公司”或“大连国际”）向中广核核技术应用有限公司（以下简称“中广核核技术”）等四十六名交易对方发行</w:t>
      </w:r>
      <w:r>
        <w:rPr>
          <w:color w:val="000000"/>
          <w:sz w:val="24"/>
          <w:szCs w:val="24"/>
        </w:rPr>
        <w:t>478,993,166</w:t>
      </w:r>
      <w:r>
        <w:rPr>
          <w:rFonts w:hint="eastAsia"/>
          <w:color w:val="000000"/>
          <w:sz w:val="24"/>
          <w:szCs w:val="24"/>
        </w:rPr>
        <w:t>股人民币普通股（A股）购买资产，同时向七家配套融资方非公开发行不超过267,686,421股人民币普通股（A股）募集本次发行股份购买资产的配套资金（以下简称“本次重大资产重组”或“本次交易”）。</w:t>
      </w:r>
    </w:p>
    <w:p>
      <w:pPr>
        <w:adjustRightInd w:val="0"/>
        <w:snapToGrid w:val="0"/>
        <w:spacing w:line="360" w:lineRule="auto"/>
        <w:ind w:firstLine="480" w:firstLineChars="200"/>
        <w:rPr>
          <w:color w:val="000000"/>
          <w:sz w:val="24"/>
          <w:szCs w:val="24"/>
        </w:rPr>
      </w:pPr>
      <w:r>
        <w:rPr>
          <w:color w:val="000000"/>
          <w:sz w:val="24"/>
          <w:szCs w:val="24"/>
        </w:rPr>
        <w:t>本次重大资产重组发行股份购买资产新增股份和发行股份募集配套资金新增股份共计746,679,587股人民币普通股（A股）已于2017年1月25日在深圳证券交易所上市交易。详情参见公司于2017年1月24日在巨潮资讯网（www.cninfo.com.cn）披露的《中国大连国际合作（集团）股份有限公司发行股份购买资产并募集配套资金暨关联交易实施情况报告书暨新增股份上市公告书》等相关公告。</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本次有限售条件流通股发行后，公司未发生派送股票红利、公积金转增导致股本数量变化事项。</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2020年4月10日，经股东向公司申请，公司为部分股东办理了解除限售业务，涉及股东34名，股份数量为383,679,136股，占公司总股本的40.58%，具体情况可参见2020年4月8日刊登在巨潮资讯网披露的《关于部分限售股份上市流通的提示性公告》（公告编号：2020-032）。</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2021年1月27日，经股东向公司申请，公司为部分股东办理了解除限售业务，涉及股东11名，解除限售的流通股数量为8,764,281股，占公司总股本的0.9270%，具体情况可参见2021年1月22日刊登在巨潮资讯网披露的《关于部分限售股份上市流通的提示性公告》（公告编号：2021-003）。</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2021年6月28日，经股东向公司申请，公司为部分股东办理了解除限售业务，涉及股东12名，解除限售的流通股数量为28,018,700股，占公司总股本的2.9636%，具体情况可参见2021年6月24日刊登在巨潮资讯网披露的《关于部分限售股份上市流通的提示性公告》（公告编号：2021-037）。</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2021年9月23日，经股东向公司申请，公司为部分股东办理了解除限售业务，涉及股东5名，解除限售的流通股数量为42,671,092股，占公司总股本的4.5134%，具体情况可参见2021年9月18日刊登在巨潮资讯网披露的《关于部分限售股份上市流通的提示性公告》（公告编号：2021-048）。</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202</w:t>
      </w:r>
      <w:r>
        <w:rPr>
          <w:rFonts w:hint="eastAsia"/>
          <w:color w:val="000000"/>
          <w:sz w:val="24"/>
          <w:szCs w:val="24"/>
          <w:lang w:val="en-US" w:eastAsia="zh-CN"/>
        </w:rPr>
        <w:t>2</w:t>
      </w:r>
      <w:r>
        <w:rPr>
          <w:rFonts w:hint="eastAsia"/>
          <w:color w:val="000000"/>
          <w:sz w:val="24"/>
          <w:szCs w:val="24"/>
        </w:rPr>
        <w:t>年</w:t>
      </w:r>
      <w:r>
        <w:rPr>
          <w:rFonts w:hint="eastAsia"/>
          <w:color w:val="000000"/>
          <w:sz w:val="24"/>
          <w:szCs w:val="24"/>
          <w:lang w:val="en-US" w:eastAsia="zh-CN"/>
        </w:rPr>
        <w:t>7</w:t>
      </w:r>
      <w:r>
        <w:rPr>
          <w:rFonts w:hint="eastAsia"/>
          <w:color w:val="000000"/>
          <w:sz w:val="24"/>
          <w:szCs w:val="24"/>
        </w:rPr>
        <w:t>月2</w:t>
      </w:r>
      <w:r>
        <w:rPr>
          <w:rFonts w:hint="eastAsia"/>
          <w:color w:val="000000"/>
          <w:sz w:val="24"/>
          <w:szCs w:val="24"/>
          <w:lang w:val="en-US" w:eastAsia="zh-CN"/>
        </w:rPr>
        <w:t>2</w:t>
      </w:r>
      <w:r>
        <w:rPr>
          <w:rFonts w:hint="eastAsia"/>
          <w:color w:val="000000"/>
          <w:sz w:val="24"/>
          <w:szCs w:val="24"/>
        </w:rPr>
        <w:t>日，经股东向公司申请，公司为部分股东办理了解除限售业务，涉及股东15名，解除限售股份数量为4,807,064股，占公司总股本的0.5085%</w:t>
      </w:r>
      <w:r>
        <w:rPr>
          <w:rFonts w:hint="eastAsia"/>
          <w:color w:val="000000"/>
          <w:sz w:val="24"/>
          <w:szCs w:val="24"/>
          <w:lang w:eastAsia="zh-CN"/>
        </w:rPr>
        <w:t>。</w:t>
      </w:r>
      <w:r>
        <w:rPr>
          <w:rFonts w:hint="eastAsia"/>
          <w:color w:val="000000"/>
          <w:sz w:val="24"/>
          <w:szCs w:val="24"/>
        </w:rPr>
        <w:t>具体情况可参见202</w:t>
      </w:r>
      <w:r>
        <w:rPr>
          <w:rFonts w:hint="eastAsia"/>
          <w:color w:val="000000"/>
          <w:sz w:val="24"/>
          <w:szCs w:val="24"/>
          <w:lang w:val="en-US" w:eastAsia="zh-CN"/>
        </w:rPr>
        <w:t>2</w:t>
      </w:r>
      <w:r>
        <w:rPr>
          <w:rFonts w:hint="eastAsia"/>
          <w:color w:val="000000"/>
          <w:sz w:val="24"/>
          <w:szCs w:val="24"/>
        </w:rPr>
        <w:t>年</w:t>
      </w:r>
      <w:r>
        <w:rPr>
          <w:rFonts w:hint="eastAsia"/>
          <w:color w:val="000000"/>
          <w:sz w:val="24"/>
          <w:szCs w:val="24"/>
          <w:lang w:val="en-US" w:eastAsia="zh-CN"/>
        </w:rPr>
        <w:t>7</w:t>
      </w:r>
      <w:r>
        <w:rPr>
          <w:rFonts w:hint="eastAsia"/>
          <w:color w:val="000000"/>
          <w:sz w:val="24"/>
          <w:szCs w:val="24"/>
        </w:rPr>
        <w:t>月</w:t>
      </w:r>
      <w:r>
        <w:rPr>
          <w:rFonts w:hint="eastAsia"/>
          <w:color w:val="000000"/>
          <w:sz w:val="24"/>
          <w:szCs w:val="24"/>
          <w:lang w:val="en-US" w:eastAsia="zh-CN"/>
        </w:rPr>
        <w:t>20</w:t>
      </w:r>
      <w:r>
        <w:rPr>
          <w:rFonts w:hint="eastAsia"/>
          <w:color w:val="000000"/>
          <w:sz w:val="24"/>
          <w:szCs w:val="24"/>
        </w:rPr>
        <w:t>日刊登在巨潮资讯网披露的《关于部分限售股份上市流通的提示性公告》（公告编号：202</w:t>
      </w:r>
      <w:r>
        <w:rPr>
          <w:rFonts w:hint="eastAsia"/>
          <w:color w:val="000000"/>
          <w:sz w:val="24"/>
          <w:szCs w:val="24"/>
          <w:lang w:val="en-US" w:eastAsia="zh-CN"/>
        </w:rPr>
        <w:t>2</w:t>
      </w:r>
      <w:r>
        <w:rPr>
          <w:rFonts w:hint="eastAsia"/>
          <w:color w:val="000000"/>
          <w:sz w:val="24"/>
          <w:szCs w:val="24"/>
        </w:rPr>
        <w:t>-04</w:t>
      </w:r>
      <w:r>
        <w:rPr>
          <w:rFonts w:hint="eastAsia"/>
          <w:color w:val="000000"/>
          <w:sz w:val="24"/>
          <w:szCs w:val="24"/>
          <w:lang w:val="en-US" w:eastAsia="zh-CN"/>
        </w:rPr>
        <w:t>3</w:t>
      </w:r>
      <w:r>
        <w:rPr>
          <w:rFonts w:hint="eastAsia"/>
          <w:color w:val="000000"/>
          <w:sz w:val="24"/>
          <w:szCs w:val="24"/>
        </w:rPr>
        <w:t>）。</w:t>
      </w:r>
    </w:p>
    <w:tbl>
      <w:tblPr>
        <w:tblStyle w:val="11"/>
        <w:tblW w:w="831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390"/>
        <w:gridCol w:w="1313"/>
        <w:gridCol w:w="1340"/>
        <w:gridCol w:w="1360"/>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vMerge w:val="restart"/>
            <w:tcBorders>
              <w:top w:val="single" w:color="000000" w:sz="8" w:space="0"/>
              <w:left w:val="single" w:color="000000" w:sz="8" w:space="0"/>
              <w:bottom w:val="single" w:color="000000" w:sz="8" w:space="0"/>
              <w:right w:val="single" w:color="000000" w:sz="8" w:space="0"/>
            </w:tcBorders>
            <w:shd w:val="clear" w:color="auto" w:fill="D7D7D7"/>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2390" w:type="dxa"/>
            <w:vMerge w:val="restart"/>
            <w:tcBorders>
              <w:top w:val="single" w:color="000000" w:sz="8" w:space="0"/>
              <w:left w:val="nil"/>
              <w:bottom w:val="single" w:color="000000" w:sz="8" w:space="0"/>
              <w:right w:val="single" w:color="000000" w:sz="8" w:space="0"/>
            </w:tcBorders>
            <w:shd w:val="clear" w:color="auto" w:fill="D7D7D7"/>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股东名称/</w:t>
            </w:r>
            <w:r>
              <w:rPr>
                <w:rFonts w:hint="eastAsia" w:ascii="宋体" w:hAnsi="宋体" w:eastAsia="宋体" w:cs="宋体"/>
                <w:b/>
                <w:bCs/>
                <w:i w:val="0"/>
                <w:iCs w:val="0"/>
                <w:color w:val="000000"/>
                <w:kern w:val="0"/>
                <w:sz w:val="21"/>
                <w:szCs w:val="21"/>
                <w:u w:val="none"/>
                <w:lang w:val="en-US" w:eastAsia="zh-CN" w:bidi="ar"/>
              </w:rPr>
              <w:t>姓名</w:t>
            </w:r>
          </w:p>
        </w:tc>
        <w:tc>
          <w:tcPr>
            <w:tcW w:w="1313" w:type="dxa"/>
            <w:vMerge w:val="restart"/>
            <w:tcBorders>
              <w:top w:val="single" w:color="000000" w:sz="8" w:space="0"/>
              <w:left w:val="nil"/>
              <w:bottom w:val="single" w:color="000000" w:sz="8" w:space="0"/>
              <w:right w:val="single" w:color="000000" w:sz="8" w:space="0"/>
            </w:tcBorders>
            <w:shd w:val="clear" w:color="auto" w:fill="D7D7D7"/>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变动前限售股数量（股）</w:t>
            </w:r>
          </w:p>
        </w:tc>
        <w:tc>
          <w:tcPr>
            <w:tcW w:w="2700" w:type="dxa"/>
            <w:gridSpan w:val="2"/>
            <w:tcBorders>
              <w:top w:val="single" w:color="000000" w:sz="8" w:space="0"/>
              <w:left w:val="nil"/>
              <w:bottom w:val="single" w:color="000000" w:sz="8" w:space="0"/>
              <w:right w:val="single" w:color="000000" w:sz="8" w:space="0"/>
            </w:tcBorders>
            <w:shd w:val="clear" w:color="auto" w:fill="D7D7D7"/>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变动（股）</w:t>
            </w:r>
          </w:p>
        </w:tc>
        <w:tc>
          <w:tcPr>
            <w:tcW w:w="1322" w:type="dxa"/>
            <w:vMerge w:val="restart"/>
            <w:tcBorders>
              <w:top w:val="single" w:color="000000" w:sz="8" w:space="0"/>
              <w:left w:val="nil"/>
              <w:bottom w:val="single" w:color="000000" w:sz="8" w:space="0"/>
              <w:right w:val="single" w:color="000000" w:sz="8" w:space="0"/>
            </w:tcBorders>
            <w:shd w:val="clear" w:color="auto" w:fill="D7D7D7"/>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变动后限售股数量（股）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D7D7D7"/>
            <w:noWrap w:val="0"/>
            <w:vAlign w:val="center"/>
          </w:tcPr>
          <w:p>
            <w:pPr>
              <w:jc w:val="center"/>
              <w:rPr>
                <w:rFonts w:hint="default" w:ascii="Times New Roman" w:hAnsi="Times New Roman" w:eastAsia="宋体" w:cs="Times New Roman"/>
                <w:b/>
                <w:bCs/>
                <w:i w:val="0"/>
                <w:iCs w:val="0"/>
                <w:color w:val="000000"/>
                <w:sz w:val="21"/>
                <w:szCs w:val="21"/>
                <w:u w:val="none"/>
              </w:rPr>
            </w:pPr>
          </w:p>
        </w:tc>
        <w:tc>
          <w:tcPr>
            <w:tcW w:w="2390" w:type="dxa"/>
            <w:vMerge w:val="continue"/>
            <w:tcBorders>
              <w:top w:val="single" w:color="000000" w:sz="8" w:space="0"/>
              <w:left w:val="nil"/>
              <w:bottom w:val="single" w:color="000000" w:sz="8" w:space="0"/>
              <w:right w:val="single" w:color="000000" w:sz="8" w:space="0"/>
            </w:tcBorders>
            <w:shd w:val="clear" w:color="auto" w:fill="D7D7D7"/>
            <w:noWrap w:val="0"/>
            <w:vAlign w:val="center"/>
          </w:tcPr>
          <w:p>
            <w:pPr>
              <w:jc w:val="center"/>
              <w:rPr>
                <w:rFonts w:hint="default" w:ascii="Times New Roman" w:hAnsi="Times New Roman" w:eastAsia="宋体" w:cs="Times New Roman"/>
                <w:b/>
                <w:bCs/>
                <w:i w:val="0"/>
                <w:iCs w:val="0"/>
                <w:color w:val="000000"/>
                <w:sz w:val="21"/>
                <w:szCs w:val="21"/>
                <w:u w:val="none"/>
              </w:rPr>
            </w:pPr>
          </w:p>
        </w:tc>
        <w:tc>
          <w:tcPr>
            <w:tcW w:w="1313" w:type="dxa"/>
            <w:vMerge w:val="continue"/>
            <w:tcBorders>
              <w:top w:val="single" w:color="000000" w:sz="8" w:space="0"/>
              <w:left w:val="nil"/>
              <w:bottom w:val="single" w:color="000000" w:sz="8" w:space="0"/>
              <w:right w:val="single" w:color="000000" w:sz="8" w:space="0"/>
            </w:tcBorders>
            <w:shd w:val="clear" w:color="auto" w:fill="D7D7D7"/>
            <w:noWrap w:val="0"/>
            <w:vAlign w:val="center"/>
          </w:tcPr>
          <w:p>
            <w:pPr>
              <w:jc w:val="center"/>
              <w:rPr>
                <w:rFonts w:hint="default" w:ascii="Times New Roman" w:hAnsi="Times New Roman" w:eastAsia="宋体" w:cs="Times New Roman"/>
                <w:b/>
                <w:bCs/>
                <w:i w:val="0"/>
                <w:iCs w:val="0"/>
                <w:color w:val="000000"/>
                <w:sz w:val="21"/>
                <w:szCs w:val="21"/>
                <w:u w:val="none"/>
              </w:rPr>
            </w:pPr>
          </w:p>
        </w:tc>
        <w:tc>
          <w:tcPr>
            <w:tcW w:w="1340" w:type="dxa"/>
            <w:tcBorders>
              <w:top w:val="nil"/>
              <w:left w:val="nil"/>
              <w:bottom w:val="single" w:color="000000" w:sz="8" w:space="0"/>
              <w:right w:val="single" w:color="000000" w:sz="8" w:space="0"/>
            </w:tcBorders>
            <w:shd w:val="clear" w:color="auto" w:fill="D7D7D7"/>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业绩补偿</w:t>
            </w:r>
          </w:p>
        </w:tc>
        <w:tc>
          <w:tcPr>
            <w:tcW w:w="1360" w:type="dxa"/>
            <w:tcBorders>
              <w:top w:val="nil"/>
              <w:left w:val="nil"/>
              <w:bottom w:val="single" w:color="000000" w:sz="8" w:space="0"/>
              <w:right w:val="single" w:color="000000" w:sz="8" w:space="0"/>
            </w:tcBorders>
            <w:shd w:val="clear" w:color="auto" w:fill="D7D7D7"/>
            <w:noWrap w:val="0"/>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解除限售</w:t>
            </w:r>
          </w:p>
        </w:tc>
        <w:tc>
          <w:tcPr>
            <w:tcW w:w="1322" w:type="dxa"/>
            <w:vMerge w:val="continue"/>
            <w:tcBorders>
              <w:top w:val="single" w:color="000000" w:sz="8" w:space="0"/>
              <w:left w:val="nil"/>
              <w:bottom w:val="single" w:color="000000" w:sz="8" w:space="0"/>
              <w:right w:val="single" w:color="000000" w:sz="8" w:space="0"/>
            </w:tcBorders>
            <w:shd w:val="clear" w:color="auto" w:fill="D7D7D7"/>
            <w:noWrap w:val="0"/>
            <w:vAlign w:val="center"/>
          </w:tcPr>
          <w:p>
            <w:pPr>
              <w:jc w:val="center"/>
              <w:rPr>
                <w:rFonts w:hint="default" w:ascii="Times New Roman" w:hAnsi="Times New Roman" w:eastAsia="宋体" w:cs="Times New Roman"/>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中广核核技术</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291,298,528</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-41,236,262</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-221,504,242</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28,558,024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陈晓敏</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62,423,759</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-19,804,696</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-31,149,440</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11,469,623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中国大连国际经济技术合作集团有限公司</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62,141,491</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62,141,491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深圳中广核一期核技术产业发展基金合伙企业（有限合伙）</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59,464,627</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-59,464,627</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江苏达胜热缩材料有限公司</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44,376,817</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-9,455,623</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-17,330,444</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17,590,750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魏建良</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22,203,732</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-5,189,972</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-10,787,382</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6,226,378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天津君联澄至企业管理咨询合伙企业（有限合伙）</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19,120,458</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-19,120,458</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深圳隆徽新能源投资合伙企业（有限合伙）</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14,340,344</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-14,340,344</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单永东</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13,322,239</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-3,113,983</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-6,472,429</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3,735,827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丁建宏</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13,322,239</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-3,113,983</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-6,472,429</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3,735,827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中广核资本控股有限公司</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12,237,093</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-12,237,093</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苏州德尔福商贸有限公司</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11,101,866</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-2,594,986</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-5,393,691</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3,113,189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黄志杰</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10,261,590</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-3,255,615</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-5,120,531</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1,885,444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魏兰</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8,881,492</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-2,075,989</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-4,314,952</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2,490,551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徐红岩</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7,897,743</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-3,380,485</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-2,155,074</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2,362,184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上海云杉股权投资合伙企业（有限合伙）</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6,841,060</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-2,170,410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-3,413,687</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1,256,963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林海光</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6,661,119</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-1,556,992</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-3,236,214</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1,867,913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吴凤亚</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6,661,119</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-1,556,992</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-3,236,214</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1,867,913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张定乐</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6,661,119</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-1,556,992</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-3,236,214</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1,867,913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陈林</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6,263,117</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-4,404,429</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1,858,688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俞江</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4,804,753</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-1,023,776</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-1,876,397</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1,904,580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深圳国合长泽投资基金合伙企业（有限合伙）</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4,780,114</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-4,780,114</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科维（南通）机械有限公司</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4,566,089</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-4,068,632</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497,457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苏州科荣创业投资中心（有限合伙）</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4,500,697</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-1,427,902</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3,072,795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刘恒</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4,440,746</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-1,037,995</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-2,157,476</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1,245,275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方红兵</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4,353,798</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-3,061,733</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温州科创投资咨询有限公司</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3,848,555</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-1,221,002</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-1,920,428</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上海日环科技投资有限公司</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3,361,791</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-2,995,537</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366,254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叶启捷</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2,402,376</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-511,888</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-938,199</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高健</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2,339,310</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-498,450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-913,569</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927,291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徐争鸣</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2,256,498</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-965,854</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-615,735</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674,909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苏忠兴</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2,220,373</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-518,998</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-1,078,738</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622,637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陆惠岐</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2,220,373</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-518,998</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-1,078,738</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622,637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王珏</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2,220,373</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-518,998</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-1,078,738</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622,637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包秀杰</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2,138,290</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-678,399</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-1,067,006</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苏州资达股权投资管理合伙企业（有限合伙）</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1,702,802</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-362,826</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-664,994</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674,982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刘斌</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1,581,871</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-1,409,533</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深圳市沃尔核材股份有限公司</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1,566,193</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-1,368,301</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苏州君胜股权投资管理合伙企业（有限合伙）</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958,848</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-204,308</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-374,458</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严伟</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880,427</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-619,145</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261,282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南通南京大学材料工程技术研究院</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740,508</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-659,833</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邢东剑</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642,346</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-136,870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-250,855</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254,621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李龙勤</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586,951</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-412,764</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陆燕</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564,124</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-241,464</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-153,934</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王郑宏</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564,124</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-241,464</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-153,934</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明亮</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197,819</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-176,268</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李德明</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195,532</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-174,230</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张宇田</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157,798</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-140,607</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施卫国</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114,346</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-101,889</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南通海维精密机械有限公司</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99,024</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-88,236</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2390"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肖林</w:t>
            </w:r>
          </w:p>
        </w:tc>
        <w:tc>
          <w:tcPr>
            <w:tcW w:w="1313" w:type="dxa"/>
            <w:tcBorders>
              <w:top w:val="nil"/>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98,566</w:t>
            </w:r>
          </w:p>
        </w:tc>
        <w:tc>
          <w:tcPr>
            <w:tcW w:w="134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-87,828</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5" w:type="dxa"/>
            <w:tcBorders>
              <w:top w:val="nil"/>
              <w:left w:val="single" w:color="000000" w:sz="8" w:space="0"/>
              <w:bottom w:val="nil"/>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2390" w:type="dxa"/>
            <w:tcBorders>
              <w:top w:val="nil"/>
              <w:left w:val="nil"/>
              <w:bottom w:val="nil"/>
              <w:right w:val="single" w:color="000000" w:sz="8"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刘永好</w:t>
            </w:r>
          </w:p>
        </w:tc>
        <w:tc>
          <w:tcPr>
            <w:tcW w:w="1313" w:type="dxa"/>
            <w:tcBorders>
              <w:top w:val="nil"/>
              <w:left w:val="nil"/>
              <w:bottom w:val="nil"/>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92,620</w:t>
            </w:r>
          </w:p>
        </w:tc>
        <w:tc>
          <w:tcPr>
            <w:tcW w:w="1340" w:type="dxa"/>
            <w:tcBorders>
              <w:top w:val="nil"/>
              <w:left w:val="nil"/>
              <w:bottom w:val="nil"/>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360" w:type="dxa"/>
            <w:tcBorders>
              <w:top w:val="nil"/>
              <w:left w:val="nil"/>
              <w:bottom w:val="nil"/>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-82,530</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5" w:type="dxa"/>
            <w:gridSpan w:val="2"/>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13"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746,679,587</w:t>
            </w:r>
          </w:p>
        </w:tc>
        <w:tc>
          <w:tcPr>
            <w:tcW w:w="134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-110,172,172</w:t>
            </w:r>
          </w:p>
        </w:tc>
        <w:tc>
          <w:tcPr>
            <w:tcW w:w="136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-467,940,273</w:t>
            </w:r>
          </w:p>
        </w:tc>
        <w:tc>
          <w:tcPr>
            <w:tcW w:w="1322" w:type="dxa"/>
            <w:tcBorders>
              <w:top w:val="nil"/>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168,567,142</w:t>
            </w:r>
          </w:p>
        </w:tc>
      </w:tr>
    </w:tbl>
    <w:p>
      <w:pPr>
        <w:adjustRightInd w:val="0"/>
        <w:snapToGrid w:val="0"/>
        <w:spacing w:before="156" w:beforeLines="50" w:line="360" w:lineRule="auto"/>
        <w:ind w:firstLine="482" w:firstLineChars="200"/>
        <w:outlineLvl w:val="0"/>
        <w:rPr>
          <w:b/>
          <w:color w:val="000000"/>
          <w:sz w:val="24"/>
          <w:szCs w:val="24"/>
        </w:rPr>
      </w:pPr>
      <w:r>
        <w:rPr>
          <w:rFonts w:hint="eastAsia"/>
          <w:b/>
          <w:color w:val="000000"/>
          <w:sz w:val="24"/>
          <w:szCs w:val="24"/>
        </w:rPr>
        <w:t>二、本次申请解除限售股东的承诺履行情况及其他事项说明</w:t>
      </w:r>
    </w:p>
    <w:p>
      <w:pPr>
        <w:adjustRightInd w:val="0"/>
        <w:snapToGrid w:val="0"/>
        <w:spacing w:line="360" w:lineRule="auto"/>
        <w:ind w:firstLine="482" w:firstLineChars="200"/>
        <w:outlineLvl w:val="1"/>
        <w:rPr>
          <w:rFonts w:hint="eastAsia"/>
          <w:b/>
          <w:color w:val="000000"/>
          <w:sz w:val="24"/>
          <w:szCs w:val="24"/>
        </w:rPr>
      </w:pPr>
      <w:r>
        <w:rPr>
          <w:rFonts w:hint="eastAsia"/>
          <w:b/>
          <w:color w:val="000000"/>
          <w:sz w:val="24"/>
          <w:szCs w:val="24"/>
        </w:rPr>
        <w:t>（一）本次申请解除股份限售的承诺履行情况</w:t>
      </w:r>
    </w:p>
    <w:p>
      <w:pPr>
        <w:adjustRightInd w:val="0"/>
        <w:snapToGrid w:val="0"/>
        <w:spacing w:line="360" w:lineRule="auto"/>
        <w:ind w:firstLine="482" w:firstLineChars="200"/>
        <w:outlineLvl w:val="2"/>
        <w:rPr>
          <w:rFonts w:hint="eastAsia"/>
          <w:b/>
          <w:color w:val="000000"/>
          <w:sz w:val="24"/>
          <w:szCs w:val="24"/>
        </w:rPr>
      </w:pPr>
      <w:r>
        <w:rPr>
          <w:rFonts w:hint="eastAsia"/>
          <w:b/>
          <w:color w:val="000000"/>
          <w:sz w:val="24"/>
          <w:szCs w:val="24"/>
        </w:rPr>
        <w:t>1、关于锁定期的承诺</w:t>
      </w:r>
    </w:p>
    <w:tbl>
      <w:tblPr>
        <w:tblStyle w:val="11"/>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49"/>
        <w:gridCol w:w="5812"/>
        <w:gridCol w:w="992"/>
        <w:gridCol w:w="994"/>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749" w:type="dxa"/>
            <w:shd w:val="clear" w:color="auto" w:fill="F2F2F2"/>
            <w:noWrap w:val="0"/>
            <w:vAlign w:val="center"/>
          </w:tcPr>
          <w:p>
            <w:pPr>
              <w:ind w:left="-21" w:leftChars="-10" w:right="-21" w:rightChars="-10"/>
              <w:jc w:val="center"/>
              <w:rPr>
                <w:b/>
                <w:szCs w:val="21"/>
              </w:rPr>
            </w:pPr>
            <w:r>
              <w:rPr>
                <w:rFonts w:hint="eastAsia"/>
                <w:b/>
                <w:szCs w:val="21"/>
              </w:rPr>
              <w:t>承诺方</w:t>
            </w:r>
          </w:p>
        </w:tc>
        <w:tc>
          <w:tcPr>
            <w:tcW w:w="5812" w:type="dxa"/>
            <w:shd w:val="clear" w:color="auto" w:fill="F2F2F2"/>
            <w:noWrap w:val="0"/>
            <w:vAlign w:val="center"/>
          </w:tcPr>
          <w:p>
            <w:pPr>
              <w:ind w:left="-21" w:leftChars="-10" w:right="-21" w:rightChars="-10"/>
              <w:jc w:val="center"/>
              <w:rPr>
                <w:b/>
                <w:szCs w:val="21"/>
              </w:rPr>
            </w:pPr>
            <w:r>
              <w:rPr>
                <w:rFonts w:hint="eastAsia"/>
                <w:b/>
                <w:szCs w:val="21"/>
              </w:rPr>
              <w:t>承诺内容</w:t>
            </w:r>
          </w:p>
        </w:tc>
        <w:tc>
          <w:tcPr>
            <w:tcW w:w="992" w:type="dxa"/>
            <w:shd w:val="clear" w:color="auto" w:fill="F2F2F2"/>
            <w:noWrap w:val="0"/>
            <w:vAlign w:val="center"/>
          </w:tcPr>
          <w:p>
            <w:pPr>
              <w:ind w:left="-21" w:leftChars="-10" w:right="-21" w:rightChars="-10"/>
              <w:jc w:val="center"/>
              <w:rPr>
                <w:b/>
                <w:szCs w:val="21"/>
              </w:rPr>
            </w:pPr>
            <w:r>
              <w:rPr>
                <w:rFonts w:hint="eastAsia"/>
                <w:b/>
                <w:szCs w:val="21"/>
              </w:rPr>
              <w:t>承诺时间</w:t>
            </w:r>
          </w:p>
        </w:tc>
        <w:tc>
          <w:tcPr>
            <w:tcW w:w="994" w:type="dxa"/>
            <w:shd w:val="clear" w:color="auto" w:fill="F2F2F2"/>
            <w:noWrap w:val="0"/>
            <w:vAlign w:val="center"/>
          </w:tcPr>
          <w:p>
            <w:pPr>
              <w:ind w:left="-21" w:leftChars="-10" w:right="-21" w:rightChars="-10"/>
              <w:jc w:val="center"/>
              <w:rPr>
                <w:b/>
                <w:szCs w:val="21"/>
              </w:rPr>
            </w:pPr>
            <w:r>
              <w:rPr>
                <w:rFonts w:hint="eastAsia"/>
                <w:b/>
                <w:szCs w:val="21"/>
              </w:rPr>
              <w:t>承诺期限</w:t>
            </w:r>
          </w:p>
        </w:tc>
        <w:tc>
          <w:tcPr>
            <w:tcW w:w="972" w:type="dxa"/>
            <w:shd w:val="clear" w:color="auto" w:fill="F2F2F2"/>
            <w:noWrap w:val="0"/>
            <w:vAlign w:val="center"/>
          </w:tcPr>
          <w:p>
            <w:pPr>
              <w:ind w:left="-21" w:leftChars="-10" w:right="-21" w:rightChars="-10"/>
              <w:jc w:val="center"/>
              <w:rPr>
                <w:b/>
                <w:szCs w:val="21"/>
              </w:rPr>
            </w:pPr>
            <w:r>
              <w:rPr>
                <w:rFonts w:hint="eastAsia"/>
                <w:b/>
                <w:szCs w:val="21"/>
              </w:rPr>
              <w:t>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49" w:type="dxa"/>
            <w:shd w:val="clear" w:color="auto" w:fill="FFFFFF"/>
            <w:noWrap w:val="0"/>
            <w:vAlign w:val="center"/>
          </w:tcPr>
          <w:p>
            <w:pPr>
              <w:ind w:left="-21" w:leftChars="-10" w:right="-21" w:rightChars="-10"/>
              <w:jc w:val="left"/>
              <w:rPr>
                <w:szCs w:val="21"/>
              </w:rPr>
            </w:pPr>
            <w:r>
              <w:rPr>
                <w:rFonts w:hint="eastAsia"/>
                <w:szCs w:val="21"/>
              </w:rPr>
              <w:t>中广核核技术等46名交易对方</w:t>
            </w:r>
          </w:p>
        </w:tc>
        <w:tc>
          <w:tcPr>
            <w:tcW w:w="5812" w:type="dxa"/>
            <w:shd w:val="clear" w:color="auto" w:fill="FFFFFF"/>
            <w:noWrap w:val="0"/>
            <w:vAlign w:val="center"/>
          </w:tcPr>
          <w:p>
            <w:pPr>
              <w:ind w:left="-21" w:leftChars="-10" w:right="-21" w:rightChars="-10" w:firstLine="420" w:firstLineChars="200"/>
              <w:jc w:val="left"/>
              <w:rPr>
                <w:rFonts w:hint="eastAsia"/>
                <w:szCs w:val="21"/>
              </w:rPr>
            </w:pPr>
            <w:r>
              <w:rPr>
                <w:rFonts w:hint="eastAsia"/>
                <w:szCs w:val="21"/>
              </w:rPr>
              <w:t>本人/本企业通过本次交易认购的大连国际股票，自该等股票上市之日起三十六个月内将不以任何直接或间接方式转让或委托他人管理，包括但不限于通过证券市场公开转让或通过协议方式转让；之后按照中国证券监督管理委员会和深圳证券交易所的有关规定执行。</w:t>
            </w:r>
          </w:p>
          <w:p>
            <w:pPr>
              <w:ind w:left="-21" w:leftChars="-10" w:right="-21" w:rightChars="-10" w:firstLine="420" w:firstLineChars="200"/>
              <w:jc w:val="left"/>
              <w:rPr>
                <w:rFonts w:hint="eastAsia"/>
                <w:szCs w:val="21"/>
              </w:rPr>
            </w:pPr>
            <w:r>
              <w:rPr>
                <w:rFonts w:hint="eastAsia"/>
                <w:szCs w:val="21"/>
              </w:rPr>
              <w:t>上述限售期内，本人/本企业获得的大连国际股票如因大连国际实施送股、转增等事项而增加的部分，将一并遵守上述限售期限的承诺。</w:t>
            </w:r>
          </w:p>
          <w:p>
            <w:pPr>
              <w:ind w:left="-21" w:leftChars="-10" w:right="-21" w:rightChars="-10" w:firstLine="420" w:firstLineChars="200"/>
              <w:jc w:val="left"/>
              <w:rPr>
                <w:szCs w:val="21"/>
              </w:rPr>
            </w:pPr>
            <w:r>
              <w:rPr>
                <w:rFonts w:hint="eastAsia"/>
                <w:szCs w:val="21"/>
              </w:rPr>
              <w:t>本次交易完成后6个月内，如大连国际股票连续20个交易日的收盘价低于本次交易发行价，或者交易完成后6个月期末收盘价低于本次交易发行价的，本人/本企业/本公司因本次交易新增的大连国际股票的锁定期自动延长至少6个月。</w:t>
            </w:r>
          </w:p>
        </w:tc>
        <w:tc>
          <w:tcPr>
            <w:tcW w:w="992" w:type="dxa"/>
            <w:shd w:val="clear" w:color="auto" w:fill="FFFFFF"/>
            <w:noWrap w:val="0"/>
            <w:vAlign w:val="center"/>
          </w:tcPr>
          <w:p>
            <w:pPr>
              <w:ind w:left="-21" w:leftChars="-10" w:right="-21" w:rightChars="-10"/>
              <w:jc w:val="left"/>
              <w:rPr>
                <w:szCs w:val="21"/>
              </w:rPr>
            </w:pPr>
            <w:r>
              <w:rPr>
                <w:szCs w:val="21"/>
              </w:rPr>
              <w:t>2017</w:t>
            </w:r>
            <w:r>
              <w:rPr>
                <w:rFonts w:hint="eastAsia"/>
                <w:szCs w:val="21"/>
              </w:rPr>
              <w:t>/0</w:t>
            </w:r>
            <w:r>
              <w:rPr>
                <w:szCs w:val="21"/>
              </w:rPr>
              <w:t>1</w:t>
            </w:r>
            <w:r>
              <w:rPr>
                <w:rFonts w:hint="eastAsia"/>
                <w:szCs w:val="21"/>
              </w:rPr>
              <w:t>/</w:t>
            </w:r>
            <w:r>
              <w:rPr>
                <w:szCs w:val="21"/>
              </w:rPr>
              <w:t>25</w:t>
            </w:r>
          </w:p>
        </w:tc>
        <w:tc>
          <w:tcPr>
            <w:tcW w:w="994" w:type="dxa"/>
            <w:shd w:val="clear" w:color="auto" w:fill="FFFFFF"/>
            <w:noWrap w:val="0"/>
            <w:vAlign w:val="center"/>
          </w:tcPr>
          <w:p>
            <w:pPr>
              <w:ind w:left="-21" w:leftChars="-10" w:right="-21" w:rightChars="-10"/>
              <w:jc w:val="left"/>
              <w:rPr>
                <w:szCs w:val="21"/>
              </w:rPr>
            </w:pPr>
            <w:r>
              <w:rPr>
                <w:szCs w:val="21"/>
              </w:rPr>
              <w:t>2017</w:t>
            </w:r>
            <w:r>
              <w:rPr>
                <w:rFonts w:hint="eastAsia"/>
                <w:szCs w:val="21"/>
              </w:rPr>
              <w:t>/0</w:t>
            </w:r>
            <w:r>
              <w:rPr>
                <w:szCs w:val="21"/>
              </w:rPr>
              <w:t>1</w:t>
            </w:r>
            <w:r>
              <w:rPr>
                <w:rFonts w:hint="eastAsia"/>
                <w:szCs w:val="21"/>
              </w:rPr>
              <w:t>/</w:t>
            </w:r>
            <w:r>
              <w:rPr>
                <w:szCs w:val="21"/>
              </w:rPr>
              <w:t>25</w:t>
            </w:r>
            <w:r>
              <w:rPr>
                <w:rFonts w:hint="eastAsia"/>
                <w:szCs w:val="21"/>
              </w:rPr>
              <w:t>至</w:t>
            </w:r>
            <w:r>
              <w:rPr>
                <w:szCs w:val="21"/>
              </w:rPr>
              <w:t>2020</w:t>
            </w:r>
            <w:r>
              <w:rPr>
                <w:rFonts w:hint="eastAsia"/>
                <w:szCs w:val="21"/>
              </w:rPr>
              <w:t>/0</w:t>
            </w:r>
            <w:r>
              <w:rPr>
                <w:szCs w:val="21"/>
              </w:rPr>
              <w:t>1</w:t>
            </w:r>
            <w:r>
              <w:rPr>
                <w:rFonts w:hint="eastAsia"/>
                <w:szCs w:val="21"/>
              </w:rPr>
              <w:t>/</w:t>
            </w:r>
            <w:r>
              <w:rPr>
                <w:szCs w:val="21"/>
              </w:rPr>
              <w:t>25</w:t>
            </w:r>
          </w:p>
        </w:tc>
        <w:tc>
          <w:tcPr>
            <w:tcW w:w="972" w:type="dxa"/>
            <w:shd w:val="clear" w:color="auto" w:fill="FFFFFF"/>
            <w:noWrap w:val="0"/>
            <w:vAlign w:val="center"/>
          </w:tcPr>
          <w:p>
            <w:pPr>
              <w:ind w:left="-21" w:leftChars="-10" w:right="-21" w:rightChars="-10"/>
              <w:jc w:val="left"/>
              <w:rPr>
                <w:szCs w:val="21"/>
              </w:rPr>
            </w:pPr>
            <w:r>
              <w:rPr>
                <w:rFonts w:hint="eastAsia"/>
                <w:szCs w:val="21"/>
              </w:rPr>
              <w:t>履行完毕</w:t>
            </w:r>
          </w:p>
        </w:tc>
      </w:tr>
    </w:tbl>
    <w:p>
      <w:pPr>
        <w:adjustRightInd w:val="0"/>
        <w:snapToGrid w:val="0"/>
        <w:spacing w:before="156" w:beforeLines="50" w:after="156" w:afterLines="50" w:line="360" w:lineRule="auto"/>
        <w:ind w:firstLine="482" w:firstLineChars="200"/>
        <w:outlineLvl w:val="2"/>
        <w:rPr>
          <w:rFonts w:hint="eastAsia"/>
          <w:b/>
          <w:color w:val="000000"/>
          <w:sz w:val="24"/>
          <w:szCs w:val="24"/>
        </w:rPr>
      </w:pPr>
      <w:r>
        <w:rPr>
          <w:rFonts w:hint="eastAsia"/>
          <w:b/>
          <w:color w:val="000000"/>
          <w:sz w:val="24"/>
          <w:szCs w:val="24"/>
        </w:rPr>
        <w:t>2、关于解决产权瑕疵的承诺</w:t>
      </w:r>
    </w:p>
    <w:tbl>
      <w:tblPr>
        <w:tblStyle w:val="11"/>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83"/>
        <w:gridCol w:w="4800"/>
        <w:gridCol w:w="1013"/>
        <w:gridCol w:w="1013"/>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883" w:type="dxa"/>
            <w:shd w:val="clear" w:color="auto" w:fill="F2F2F2"/>
            <w:noWrap w:val="0"/>
            <w:vAlign w:val="center"/>
          </w:tcPr>
          <w:p>
            <w:pPr>
              <w:ind w:left="-21" w:leftChars="-10" w:right="-21" w:rightChars="-10"/>
              <w:jc w:val="center"/>
              <w:rPr>
                <w:b/>
                <w:szCs w:val="21"/>
              </w:rPr>
            </w:pPr>
            <w:r>
              <w:rPr>
                <w:rFonts w:hint="eastAsia"/>
                <w:b/>
                <w:szCs w:val="21"/>
              </w:rPr>
              <w:t>承诺方</w:t>
            </w:r>
          </w:p>
        </w:tc>
        <w:tc>
          <w:tcPr>
            <w:tcW w:w="4800" w:type="dxa"/>
            <w:shd w:val="clear" w:color="auto" w:fill="F2F2F2"/>
            <w:noWrap w:val="0"/>
            <w:vAlign w:val="center"/>
          </w:tcPr>
          <w:p>
            <w:pPr>
              <w:ind w:left="-21" w:leftChars="-10" w:right="-21" w:rightChars="-10"/>
              <w:jc w:val="center"/>
              <w:rPr>
                <w:b/>
                <w:szCs w:val="21"/>
              </w:rPr>
            </w:pPr>
            <w:r>
              <w:rPr>
                <w:rFonts w:hint="eastAsia"/>
                <w:b/>
                <w:szCs w:val="21"/>
              </w:rPr>
              <w:t>承诺内容</w:t>
            </w:r>
          </w:p>
        </w:tc>
        <w:tc>
          <w:tcPr>
            <w:tcW w:w="1013" w:type="dxa"/>
            <w:shd w:val="clear" w:color="auto" w:fill="F2F2F2"/>
            <w:noWrap w:val="0"/>
            <w:vAlign w:val="center"/>
          </w:tcPr>
          <w:p>
            <w:pPr>
              <w:ind w:left="-21" w:leftChars="-10" w:right="-21" w:rightChars="-10"/>
              <w:jc w:val="center"/>
              <w:rPr>
                <w:b/>
                <w:szCs w:val="21"/>
              </w:rPr>
            </w:pPr>
            <w:r>
              <w:rPr>
                <w:rFonts w:hint="eastAsia"/>
                <w:b/>
                <w:szCs w:val="21"/>
              </w:rPr>
              <w:t>承诺时间</w:t>
            </w:r>
          </w:p>
        </w:tc>
        <w:tc>
          <w:tcPr>
            <w:tcW w:w="1013" w:type="dxa"/>
            <w:shd w:val="clear" w:color="auto" w:fill="F2F2F2"/>
            <w:noWrap w:val="0"/>
            <w:vAlign w:val="center"/>
          </w:tcPr>
          <w:p>
            <w:pPr>
              <w:ind w:left="-21" w:leftChars="-10" w:right="-21" w:rightChars="-10"/>
              <w:jc w:val="center"/>
              <w:rPr>
                <w:b/>
                <w:szCs w:val="21"/>
              </w:rPr>
            </w:pPr>
            <w:r>
              <w:rPr>
                <w:rFonts w:hint="eastAsia"/>
                <w:b/>
                <w:szCs w:val="21"/>
              </w:rPr>
              <w:t>承诺期限</w:t>
            </w:r>
          </w:p>
        </w:tc>
        <w:tc>
          <w:tcPr>
            <w:tcW w:w="1810" w:type="dxa"/>
            <w:shd w:val="clear" w:color="auto" w:fill="F2F2F2"/>
            <w:noWrap w:val="0"/>
            <w:vAlign w:val="center"/>
          </w:tcPr>
          <w:p>
            <w:pPr>
              <w:ind w:left="-21" w:leftChars="-10" w:right="-21" w:rightChars="-10"/>
              <w:jc w:val="center"/>
              <w:rPr>
                <w:b/>
                <w:szCs w:val="21"/>
              </w:rPr>
            </w:pPr>
            <w:r>
              <w:rPr>
                <w:rFonts w:hint="eastAsia"/>
                <w:b/>
                <w:szCs w:val="21"/>
              </w:rPr>
              <w:t>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883" w:type="dxa"/>
            <w:shd w:val="clear" w:color="auto" w:fill="FFFFFF"/>
            <w:noWrap w:val="0"/>
            <w:vAlign w:val="center"/>
          </w:tcPr>
          <w:p>
            <w:pPr>
              <w:ind w:left="-21" w:leftChars="-10" w:right="-21" w:rightChars="-10"/>
              <w:jc w:val="left"/>
              <w:rPr>
                <w:szCs w:val="21"/>
              </w:rPr>
            </w:pPr>
            <w:r>
              <w:rPr>
                <w:rFonts w:hint="eastAsia"/>
                <w:szCs w:val="21"/>
              </w:rPr>
              <w:t>中广核中科海维科技发展有限公司（已更名为中广核辐照技术有限公司，以下简称：“中科海维”）原股东</w:t>
            </w:r>
          </w:p>
          <w:p>
            <w:pPr>
              <w:ind w:left="-21" w:leftChars="-10" w:right="-21" w:rightChars="-10"/>
              <w:jc w:val="left"/>
              <w:rPr>
                <w:rFonts w:hint="eastAsia"/>
                <w:szCs w:val="21"/>
              </w:rPr>
            </w:pPr>
          </w:p>
          <w:p>
            <w:pPr>
              <w:ind w:left="-21" w:leftChars="-10" w:right="-21" w:rightChars="-10"/>
              <w:jc w:val="left"/>
              <w:rPr>
                <w:rFonts w:hint="eastAsia"/>
                <w:szCs w:val="21"/>
              </w:rPr>
            </w:pPr>
          </w:p>
          <w:p>
            <w:pPr>
              <w:ind w:left="-21" w:leftChars="-10" w:right="-21" w:rightChars="-10"/>
              <w:jc w:val="left"/>
              <w:rPr>
                <w:rFonts w:hint="eastAsia"/>
                <w:szCs w:val="21"/>
              </w:rPr>
            </w:pPr>
          </w:p>
        </w:tc>
        <w:tc>
          <w:tcPr>
            <w:tcW w:w="4800" w:type="dxa"/>
            <w:shd w:val="clear" w:color="auto" w:fill="FFFFFF"/>
            <w:noWrap w:val="0"/>
            <w:vAlign w:val="center"/>
          </w:tcPr>
          <w:p>
            <w:pPr>
              <w:ind w:left="-21" w:leftChars="-10" w:right="-21" w:rightChars="-10" w:firstLine="420" w:firstLineChars="200"/>
              <w:jc w:val="left"/>
              <w:rPr>
                <w:rFonts w:hint="eastAsia"/>
                <w:szCs w:val="21"/>
              </w:rPr>
            </w:pPr>
            <w:r>
              <w:rPr>
                <w:rFonts w:hint="eastAsia"/>
                <w:szCs w:val="21"/>
              </w:rPr>
              <w:t>中科海维瑕疵房产：1、自原承诺函期限届满之日起的24个月内，承诺人将协助公司通过补办权属证书、拆除等合理合法的方式积极妥善处理上述瑕疵问题；2、若未来由于上述两处房产瑕疵导致中科海维产生任何直接或间接经济损失（包括但不限于罚款、赔偿款、补缴款、违约金、拆除费用、搬迁费用、停工停产损失等）的，承诺人将按照本次重组前其在中科海维的权益比例，以承担连带责任方式无条件予以全额承担和补偿，确保中科海维不会因此遭受任何经济损失。3、本承诺函具有不可撤销的效力。</w:t>
            </w:r>
          </w:p>
        </w:tc>
        <w:tc>
          <w:tcPr>
            <w:tcW w:w="1013" w:type="dxa"/>
            <w:shd w:val="clear" w:color="auto" w:fill="FFFFFF"/>
            <w:noWrap w:val="0"/>
            <w:vAlign w:val="center"/>
          </w:tcPr>
          <w:p>
            <w:pPr>
              <w:jc w:val="left"/>
              <w:rPr>
                <w:szCs w:val="24"/>
              </w:rPr>
            </w:pPr>
            <w:r>
              <w:rPr>
                <w:szCs w:val="24"/>
              </w:rPr>
              <w:t>2019/01/24</w:t>
            </w:r>
          </w:p>
        </w:tc>
        <w:tc>
          <w:tcPr>
            <w:tcW w:w="1013" w:type="dxa"/>
            <w:shd w:val="clear" w:color="auto" w:fill="FFFFFF"/>
            <w:noWrap w:val="0"/>
            <w:vAlign w:val="center"/>
          </w:tcPr>
          <w:p>
            <w:pPr>
              <w:jc w:val="left"/>
              <w:rPr>
                <w:szCs w:val="24"/>
              </w:rPr>
            </w:pPr>
            <w:r>
              <w:rPr>
                <w:szCs w:val="24"/>
              </w:rPr>
              <w:t>2019/01/24</w:t>
            </w:r>
            <w:r>
              <w:rPr>
                <w:rFonts w:hint="eastAsia"/>
                <w:szCs w:val="24"/>
              </w:rPr>
              <w:t>至</w:t>
            </w:r>
            <w:r>
              <w:rPr>
                <w:szCs w:val="24"/>
              </w:rPr>
              <w:t>2021/01/24</w:t>
            </w:r>
          </w:p>
        </w:tc>
        <w:tc>
          <w:tcPr>
            <w:tcW w:w="1810" w:type="dxa"/>
            <w:shd w:val="clear" w:color="auto" w:fill="FFFFFF"/>
            <w:noWrap w:val="0"/>
            <w:vAlign w:val="center"/>
          </w:tcPr>
          <w:p>
            <w:pPr>
              <w:ind w:left="-21" w:leftChars="-10" w:right="-21" w:rightChars="-10"/>
              <w:jc w:val="left"/>
              <w:rPr>
                <w:rFonts w:hint="eastAsia"/>
                <w:szCs w:val="21"/>
              </w:rPr>
            </w:pPr>
            <w:r>
              <w:rPr>
                <w:rFonts w:hint="eastAsia"/>
                <w:szCs w:val="21"/>
              </w:rPr>
              <w:t>已履行完毕</w:t>
            </w:r>
          </w:p>
        </w:tc>
      </w:tr>
    </w:tbl>
    <w:p>
      <w:pPr>
        <w:adjustRightInd w:val="0"/>
        <w:snapToGrid w:val="0"/>
        <w:spacing w:before="156" w:beforeLines="50" w:after="156" w:afterLines="50" w:line="360" w:lineRule="auto"/>
        <w:ind w:firstLine="482" w:firstLineChars="200"/>
        <w:outlineLvl w:val="2"/>
        <w:rPr>
          <w:rFonts w:hint="eastAsia"/>
          <w:b/>
          <w:color w:val="000000"/>
          <w:sz w:val="24"/>
          <w:szCs w:val="24"/>
        </w:rPr>
      </w:pPr>
      <w:r>
        <w:rPr>
          <w:rFonts w:hint="eastAsia"/>
          <w:b/>
          <w:color w:val="000000"/>
          <w:sz w:val="24"/>
          <w:szCs w:val="24"/>
        </w:rPr>
        <w:t>3、一般性承诺</w:t>
      </w:r>
    </w:p>
    <w:tbl>
      <w:tblPr>
        <w:tblStyle w:val="1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47"/>
        <w:gridCol w:w="992"/>
        <w:gridCol w:w="6721"/>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947" w:type="dxa"/>
            <w:shd w:val="clear" w:color="auto" w:fill="F2F2F2"/>
            <w:noWrap w:val="0"/>
            <w:vAlign w:val="center"/>
          </w:tcPr>
          <w:p>
            <w:pPr>
              <w:ind w:left="-21" w:leftChars="-10" w:right="-21" w:rightChars="-10"/>
              <w:jc w:val="center"/>
              <w:rPr>
                <w:b/>
                <w:szCs w:val="21"/>
              </w:rPr>
            </w:pPr>
            <w:r>
              <w:rPr>
                <w:rFonts w:hint="eastAsia"/>
                <w:b/>
                <w:szCs w:val="21"/>
              </w:rPr>
              <w:t>承诺方</w:t>
            </w:r>
          </w:p>
        </w:tc>
        <w:tc>
          <w:tcPr>
            <w:tcW w:w="992" w:type="dxa"/>
            <w:shd w:val="clear" w:color="auto" w:fill="F2F2F2"/>
            <w:noWrap w:val="0"/>
            <w:vAlign w:val="center"/>
          </w:tcPr>
          <w:p>
            <w:pPr>
              <w:ind w:left="-21" w:leftChars="-10" w:right="-21" w:rightChars="-10"/>
              <w:jc w:val="center"/>
              <w:rPr>
                <w:rFonts w:hint="eastAsia"/>
                <w:b/>
                <w:szCs w:val="21"/>
              </w:rPr>
            </w:pPr>
            <w:r>
              <w:rPr>
                <w:rFonts w:hint="eastAsia"/>
                <w:b/>
                <w:szCs w:val="21"/>
              </w:rPr>
              <w:t>承诺事项</w:t>
            </w:r>
          </w:p>
        </w:tc>
        <w:tc>
          <w:tcPr>
            <w:tcW w:w="6721" w:type="dxa"/>
            <w:shd w:val="clear" w:color="auto" w:fill="F2F2F2"/>
            <w:noWrap w:val="0"/>
            <w:vAlign w:val="center"/>
          </w:tcPr>
          <w:p>
            <w:pPr>
              <w:ind w:left="-21" w:leftChars="-10" w:right="-21" w:rightChars="-10"/>
              <w:jc w:val="center"/>
              <w:rPr>
                <w:b/>
                <w:szCs w:val="21"/>
              </w:rPr>
            </w:pPr>
            <w:r>
              <w:rPr>
                <w:rFonts w:hint="eastAsia"/>
                <w:b/>
                <w:szCs w:val="21"/>
              </w:rPr>
              <w:t>承诺内容</w:t>
            </w:r>
          </w:p>
        </w:tc>
        <w:tc>
          <w:tcPr>
            <w:tcW w:w="972" w:type="dxa"/>
            <w:shd w:val="clear" w:color="auto" w:fill="F2F2F2"/>
            <w:noWrap w:val="0"/>
            <w:vAlign w:val="center"/>
          </w:tcPr>
          <w:p>
            <w:pPr>
              <w:ind w:left="-21" w:leftChars="-10" w:right="-21" w:rightChars="-10"/>
              <w:jc w:val="center"/>
              <w:rPr>
                <w:b/>
                <w:szCs w:val="21"/>
              </w:rPr>
            </w:pPr>
            <w:r>
              <w:rPr>
                <w:rFonts w:hint="eastAsia"/>
                <w:b/>
                <w:szCs w:val="21"/>
              </w:rPr>
              <w:t>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47" w:type="dxa"/>
            <w:shd w:val="clear" w:color="auto" w:fill="FFFFFF"/>
            <w:noWrap w:val="0"/>
            <w:vAlign w:val="center"/>
          </w:tcPr>
          <w:p>
            <w:pPr>
              <w:ind w:left="-21" w:leftChars="-10" w:right="-21" w:rightChars="-10"/>
              <w:jc w:val="left"/>
              <w:rPr>
                <w:szCs w:val="21"/>
              </w:rPr>
            </w:pPr>
            <w:r>
              <w:rPr>
                <w:rFonts w:hint="eastAsia"/>
                <w:szCs w:val="21"/>
              </w:rPr>
              <w:t>交易对方及配套融资方</w:t>
            </w:r>
          </w:p>
        </w:tc>
        <w:tc>
          <w:tcPr>
            <w:tcW w:w="992" w:type="dxa"/>
            <w:shd w:val="clear" w:color="auto" w:fill="FFFFFF"/>
            <w:noWrap w:val="0"/>
            <w:vAlign w:val="center"/>
          </w:tcPr>
          <w:p>
            <w:pPr>
              <w:ind w:left="-21" w:leftChars="-10" w:right="-21" w:rightChars="-10"/>
              <w:rPr>
                <w:rFonts w:hint="eastAsia"/>
                <w:szCs w:val="21"/>
              </w:rPr>
            </w:pPr>
            <w:r>
              <w:rPr>
                <w:rFonts w:hint="eastAsia"/>
                <w:szCs w:val="21"/>
              </w:rPr>
              <w:t>提供资料真实、准确和完整</w:t>
            </w:r>
          </w:p>
        </w:tc>
        <w:tc>
          <w:tcPr>
            <w:tcW w:w="6721" w:type="dxa"/>
            <w:shd w:val="clear" w:color="auto" w:fill="FFFFFF"/>
            <w:noWrap w:val="0"/>
            <w:vAlign w:val="center"/>
          </w:tcPr>
          <w:p>
            <w:pPr>
              <w:ind w:left="-21" w:leftChars="-10" w:right="-21" w:rightChars="-10" w:firstLine="420" w:firstLineChars="200"/>
              <w:jc w:val="left"/>
              <w:rPr>
                <w:rFonts w:hint="eastAsia"/>
                <w:szCs w:val="21"/>
              </w:rPr>
            </w:pPr>
            <w:r>
              <w:rPr>
                <w:rFonts w:hint="eastAsia"/>
                <w:szCs w:val="21"/>
              </w:rPr>
              <w:t>1、本人/本企业保证为本次交易所提供信息的真实性、准确性和完整性，保证不存在虚假记载、误导性陈述或者重大遗漏，并就提供信息的真实性、准确性和完整性承担法律责任。</w:t>
            </w:r>
          </w:p>
          <w:p>
            <w:pPr>
              <w:ind w:left="-21" w:leftChars="-10" w:right="-21" w:rightChars="-10" w:firstLine="420" w:firstLineChars="200"/>
              <w:jc w:val="left"/>
              <w:rPr>
                <w:rFonts w:hint="eastAsia"/>
                <w:szCs w:val="21"/>
              </w:rPr>
            </w:pPr>
            <w:r>
              <w:rPr>
                <w:rFonts w:hint="eastAsia"/>
                <w:szCs w:val="21"/>
              </w:rPr>
              <w:t>2、本人/本企业已向参与本次交易的各中介机构提供了其要求提供的全部资料，该等资料均为真实、准确、完整的原始书面资料或副本资料，该等资料副本或复印件与其原始资料或原件一致，所有文件的签名、印章均是真实的，并无任何虚假记载、误导性陈述或者重大遗漏。</w:t>
            </w:r>
          </w:p>
          <w:p>
            <w:pPr>
              <w:ind w:left="-21" w:leftChars="-10" w:right="-21" w:rightChars="-10" w:firstLine="420" w:firstLineChars="200"/>
              <w:jc w:val="left"/>
              <w:rPr>
                <w:szCs w:val="21"/>
              </w:rPr>
            </w:pPr>
            <w:r>
              <w:rPr>
                <w:rFonts w:hint="eastAsia"/>
                <w:szCs w:val="21"/>
              </w:rPr>
              <w:t>3、本人/本企业保证，如违反上述承诺，给上市公司或者投资者造成损失的，本人/本企业愿意依法承担赔偿责任。</w:t>
            </w:r>
          </w:p>
        </w:tc>
        <w:tc>
          <w:tcPr>
            <w:tcW w:w="972" w:type="dxa"/>
            <w:shd w:val="clear" w:color="auto" w:fill="FFFFFF"/>
            <w:noWrap w:val="0"/>
            <w:vAlign w:val="center"/>
          </w:tcPr>
          <w:p>
            <w:pPr>
              <w:ind w:left="-21" w:leftChars="-10" w:right="-21" w:rightChars="-10"/>
              <w:jc w:val="left"/>
              <w:rPr>
                <w:szCs w:val="21"/>
              </w:rPr>
            </w:pPr>
            <w:r>
              <w:rPr>
                <w:rFonts w:hint="eastAsia"/>
                <w:szCs w:val="21"/>
              </w:rPr>
              <w:t>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47" w:type="dxa"/>
            <w:shd w:val="clear" w:color="auto" w:fill="FFFFFF"/>
            <w:noWrap w:val="0"/>
            <w:vAlign w:val="center"/>
          </w:tcPr>
          <w:p>
            <w:pPr>
              <w:ind w:left="-21" w:leftChars="-10" w:right="-21" w:rightChars="-10"/>
              <w:jc w:val="left"/>
              <w:rPr>
                <w:rFonts w:hint="eastAsia"/>
                <w:szCs w:val="21"/>
              </w:rPr>
            </w:pPr>
            <w:r>
              <w:rPr>
                <w:rFonts w:hint="eastAsia"/>
                <w:szCs w:val="21"/>
              </w:rPr>
              <w:t>交易对方</w:t>
            </w:r>
          </w:p>
        </w:tc>
        <w:tc>
          <w:tcPr>
            <w:tcW w:w="992" w:type="dxa"/>
            <w:shd w:val="clear" w:color="auto" w:fill="FFFFFF"/>
            <w:noWrap w:val="0"/>
            <w:vAlign w:val="center"/>
          </w:tcPr>
          <w:p>
            <w:pPr>
              <w:ind w:left="-21" w:leftChars="-10" w:right="-21" w:rightChars="-10"/>
              <w:rPr>
                <w:rFonts w:hint="eastAsia"/>
                <w:szCs w:val="21"/>
              </w:rPr>
            </w:pPr>
            <w:r>
              <w:rPr>
                <w:rFonts w:hint="eastAsia"/>
                <w:szCs w:val="21"/>
              </w:rPr>
              <w:t>合法合规及诚信情况</w:t>
            </w:r>
          </w:p>
        </w:tc>
        <w:tc>
          <w:tcPr>
            <w:tcW w:w="6721" w:type="dxa"/>
            <w:shd w:val="clear" w:color="auto" w:fill="FFFFFF"/>
            <w:noWrap w:val="0"/>
            <w:vAlign w:val="center"/>
          </w:tcPr>
          <w:p>
            <w:pPr>
              <w:ind w:firstLine="420" w:firstLineChars="200"/>
              <w:rPr>
                <w:rFonts w:cs="Arial"/>
              </w:rPr>
            </w:pPr>
            <w:r>
              <w:rPr>
                <w:rFonts w:cs="Arial"/>
              </w:rPr>
              <w:t>1、本人/本企业未因涉嫌犯罪被司法机关立案侦查或者涉嫌违法违规被中国证监会立案调查，且最近五年内不存在受到行政处罚（与证券市场明显无关的除外）、刑事处罚、或者涉及与经济纠纷有关的重大民事诉讼或者仲裁的情况。</w:t>
            </w:r>
          </w:p>
          <w:p>
            <w:pPr>
              <w:ind w:firstLine="420" w:firstLineChars="200"/>
              <w:rPr>
                <w:rFonts w:hint="eastAsia"/>
                <w:szCs w:val="21"/>
              </w:rPr>
            </w:pPr>
            <w:r>
              <w:rPr>
                <w:rFonts w:cs="Arial"/>
              </w:rPr>
              <w:t>2、本人/本企业最近五年内诚信情况良好，不存在未按期偿还大额债务、未履行承诺、被中国证监会采取行政监管措施或受到证券交易所纪律处分的情况。</w:t>
            </w:r>
          </w:p>
        </w:tc>
        <w:tc>
          <w:tcPr>
            <w:tcW w:w="972" w:type="dxa"/>
            <w:shd w:val="clear" w:color="auto" w:fill="FFFFFF"/>
            <w:noWrap w:val="0"/>
            <w:vAlign w:val="center"/>
          </w:tcPr>
          <w:p>
            <w:pPr>
              <w:ind w:left="-21" w:leftChars="-10" w:right="-21" w:rightChars="-10"/>
              <w:jc w:val="left"/>
              <w:rPr>
                <w:rFonts w:hint="eastAsia"/>
                <w:szCs w:val="21"/>
              </w:rPr>
            </w:pPr>
            <w:r>
              <w:rPr>
                <w:rFonts w:hint="eastAsia"/>
                <w:szCs w:val="21"/>
              </w:rPr>
              <w:t>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47" w:type="dxa"/>
            <w:shd w:val="clear" w:color="auto" w:fill="FFFFFF"/>
            <w:noWrap w:val="0"/>
            <w:vAlign w:val="center"/>
          </w:tcPr>
          <w:p>
            <w:pPr>
              <w:ind w:left="-21" w:leftChars="-10" w:right="-21" w:rightChars="-10"/>
              <w:jc w:val="left"/>
              <w:rPr>
                <w:rFonts w:hint="eastAsia"/>
                <w:szCs w:val="21"/>
              </w:rPr>
            </w:pPr>
            <w:r>
              <w:rPr>
                <w:rFonts w:hint="eastAsia"/>
                <w:szCs w:val="21"/>
              </w:rPr>
              <w:t>交易对方及配套融资方</w:t>
            </w:r>
          </w:p>
        </w:tc>
        <w:tc>
          <w:tcPr>
            <w:tcW w:w="992" w:type="dxa"/>
            <w:shd w:val="clear" w:color="auto" w:fill="FFFFFF"/>
            <w:noWrap w:val="0"/>
            <w:vAlign w:val="center"/>
          </w:tcPr>
          <w:p>
            <w:pPr>
              <w:ind w:left="-21" w:leftChars="-10" w:right="-21" w:rightChars="-10"/>
              <w:rPr>
                <w:rFonts w:hint="eastAsia"/>
                <w:szCs w:val="21"/>
              </w:rPr>
            </w:pPr>
            <w:r>
              <w:rPr>
                <w:rFonts w:hint="eastAsia"/>
                <w:szCs w:val="21"/>
              </w:rPr>
              <w:t>赔偿投资者与暂停转让</w:t>
            </w:r>
          </w:p>
        </w:tc>
        <w:tc>
          <w:tcPr>
            <w:tcW w:w="6721" w:type="dxa"/>
            <w:shd w:val="clear" w:color="auto" w:fill="FFFFFF"/>
            <w:noWrap w:val="0"/>
            <w:vAlign w:val="center"/>
          </w:tcPr>
          <w:p>
            <w:pPr>
              <w:ind w:left="-21" w:leftChars="-10" w:right="-21" w:rightChars="-10" w:firstLine="420" w:firstLineChars="200"/>
              <w:jc w:val="left"/>
              <w:rPr>
                <w:rFonts w:hint="eastAsia"/>
                <w:szCs w:val="21"/>
              </w:rPr>
            </w:pPr>
            <w:r>
              <w:rPr>
                <w:rFonts w:hint="eastAsia"/>
                <w:szCs w:val="21"/>
              </w:rPr>
              <w:t>如本人/本企业就本次交易所提供或披露的信息涉嫌虚假记载、误导性陈述或者重大遗漏，被司法机关立案侦查或者被中国证监会立案调查的，在形成调查结论以前，本人/本企业不转让在大连国际拥有权益的股份，并于收到立案稽查通知的两个交易日内将暂停转让的书面申请和股票账户提交大连国际董事会，由董事会代为向证券交易所和登记结算公司申请锁定；未在两个交易日内提交锁定申请的，授权董事会核实后直接向证券交易所和登记结算公司报送本人或本企业的身份信息和账户信息并申请锁定；董事会未向证券交易所和登记结算公司报送本人或本企业的身份信息和账户信息的，授权证券交易所和登记结算公司直接锁定相关股份。</w:t>
            </w:r>
          </w:p>
          <w:p>
            <w:pPr>
              <w:ind w:left="-21" w:leftChars="-10" w:right="-21" w:rightChars="-10" w:firstLine="420" w:firstLineChars="200"/>
              <w:jc w:val="left"/>
              <w:rPr>
                <w:rFonts w:hint="eastAsia"/>
                <w:szCs w:val="21"/>
              </w:rPr>
            </w:pPr>
            <w:r>
              <w:rPr>
                <w:rFonts w:hint="eastAsia"/>
                <w:szCs w:val="21"/>
              </w:rPr>
              <w:t>如调查结论发现存在违法违规情节，本人/本企业承诺锁定股份自愿用于相关投资者赔偿安排。</w:t>
            </w:r>
          </w:p>
        </w:tc>
        <w:tc>
          <w:tcPr>
            <w:tcW w:w="972" w:type="dxa"/>
            <w:shd w:val="clear" w:color="auto" w:fill="FFFFFF"/>
            <w:noWrap w:val="0"/>
            <w:vAlign w:val="center"/>
          </w:tcPr>
          <w:p>
            <w:pPr>
              <w:ind w:left="-21" w:leftChars="-10" w:right="-21" w:rightChars="-10"/>
              <w:jc w:val="left"/>
              <w:rPr>
                <w:rFonts w:hint="eastAsia"/>
                <w:szCs w:val="21"/>
              </w:rPr>
            </w:pPr>
            <w:r>
              <w:rPr>
                <w:rFonts w:hint="eastAsia"/>
                <w:szCs w:val="21"/>
              </w:rPr>
              <w:t>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47" w:type="dxa"/>
            <w:shd w:val="clear" w:color="auto" w:fill="FFFFFF"/>
            <w:noWrap w:val="0"/>
            <w:vAlign w:val="center"/>
          </w:tcPr>
          <w:p>
            <w:pPr>
              <w:ind w:left="-21" w:leftChars="-10" w:right="-21" w:rightChars="-10"/>
              <w:jc w:val="left"/>
              <w:rPr>
                <w:rFonts w:hint="eastAsia"/>
                <w:szCs w:val="21"/>
              </w:rPr>
            </w:pPr>
            <w:r>
              <w:rPr>
                <w:rFonts w:hint="eastAsia"/>
                <w:szCs w:val="21"/>
              </w:rPr>
              <w:t>除中广核核技术之外的交易对方</w:t>
            </w:r>
          </w:p>
        </w:tc>
        <w:tc>
          <w:tcPr>
            <w:tcW w:w="992" w:type="dxa"/>
            <w:shd w:val="clear" w:color="auto" w:fill="FFFFFF"/>
            <w:noWrap w:val="0"/>
            <w:vAlign w:val="center"/>
          </w:tcPr>
          <w:p>
            <w:pPr>
              <w:ind w:left="-21" w:leftChars="-10" w:right="-21" w:rightChars="-10"/>
              <w:rPr>
                <w:szCs w:val="21"/>
              </w:rPr>
            </w:pPr>
            <w:r>
              <w:rPr>
                <w:rFonts w:hint="eastAsia"/>
                <w:szCs w:val="21"/>
              </w:rPr>
              <w:t>关联关系和一致行动</w:t>
            </w:r>
          </w:p>
        </w:tc>
        <w:tc>
          <w:tcPr>
            <w:tcW w:w="6721" w:type="dxa"/>
            <w:shd w:val="clear" w:color="auto" w:fill="FFFFFF"/>
            <w:noWrap w:val="0"/>
            <w:vAlign w:val="center"/>
          </w:tcPr>
          <w:p>
            <w:pPr>
              <w:ind w:left="-21" w:leftChars="-10" w:right="-21" w:rightChars="-10" w:firstLine="420" w:firstLineChars="200"/>
              <w:jc w:val="left"/>
              <w:rPr>
                <w:rFonts w:hint="eastAsia"/>
                <w:szCs w:val="21"/>
              </w:rPr>
            </w:pPr>
            <w:r>
              <w:rPr>
                <w:rFonts w:hint="eastAsia"/>
                <w:szCs w:val="21"/>
              </w:rPr>
              <w:t>一、截至本承诺函出具之日，本人/本企业与大连国际及大连国际的现有关联方之间不存在关联关系。</w:t>
            </w:r>
          </w:p>
          <w:p>
            <w:pPr>
              <w:ind w:left="-21" w:leftChars="-10" w:right="-21" w:rightChars="-10" w:firstLine="420" w:firstLineChars="200"/>
              <w:jc w:val="left"/>
              <w:rPr>
                <w:rFonts w:hint="eastAsia"/>
                <w:szCs w:val="21"/>
              </w:rPr>
            </w:pPr>
            <w:r>
              <w:rPr>
                <w:rFonts w:hint="eastAsia"/>
                <w:szCs w:val="21"/>
              </w:rPr>
              <w:t>二、截至本承诺函出具之日，本人/本企业与大连国际本次交易所聘请的相关中介机构及其具体经办人员不存在关联关系。</w:t>
            </w:r>
          </w:p>
          <w:p>
            <w:pPr>
              <w:ind w:left="-21" w:leftChars="-10" w:right="-21" w:rightChars="-10" w:firstLine="420" w:firstLineChars="200"/>
              <w:jc w:val="left"/>
              <w:rPr>
                <w:rFonts w:hint="eastAsia"/>
                <w:szCs w:val="21"/>
              </w:rPr>
            </w:pPr>
            <w:r>
              <w:rPr>
                <w:rFonts w:hint="eastAsia"/>
                <w:szCs w:val="21"/>
              </w:rPr>
              <w:t>三、除在本次交易相关文件中已披露的关系以外，本人/本企业与中广核核技术及其他交易对方之间不存在其他关联关系。</w:t>
            </w:r>
          </w:p>
          <w:p>
            <w:pPr>
              <w:ind w:left="-21" w:leftChars="-10" w:right="-21" w:rightChars="-10" w:firstLine="420" w:firstLineChars="200"/>
              <w:jc w:val="left"/>
              <w:rPr>
                <w:rFonts w:hint="eastAsia"/>
                <w:szCs w:val="21"/>
              </w:rPr>
            </w:pPr>
            <w:r>
              <w:rPr>
                <w:rFonts w:hint="eastAsia"/>
                <w:szCs w:val="21"/>
              </w:rPr>
              <w:t>四、本人/本企业拟与中广核核技术签署《一致行动协议》，在大连国际本次交易过程中及本次交易完成后，按照中广核核技术的意见采取一致行动及实施行使表决权、签署文件等行为，届时将成为中广核核技术的一致行动人。</w:t>
            </w:r>
          </w:p>
        </w:tc>
        <w:tc>
          <w:tcPr>
            <w:tcW w:w="972" w:type="dxa"/>
            <w:shd w:val="clear" w:color="auto" w:fill="FFFFFF"/>
            <w:noWrap w:val="0"/>
            <w:vAlign w:val="center"/>
          </w:tcPr>
          <w:p>
            <w:pPr>
              <w:ind w:left="-21" w:leftChars="-10" w:right="-21" w:rightChars="-10"/>
              <w:jc w:val="left"/>
              <w:rPr>
                <w:rFonts w:hint="eastAsia"/>
                <w:szCs w:val="21"/>
              </w:rPr>
            </w:pPr>
            <w:r>
              <w:rPr>
                <w:rFonts w:hint="eastAsia"/>
                <w:szCs w:val="21"/>
              </w:rPr>
              <w:t>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47" w:type="dxa"/>
            <w:shd w:val="clear" w:color="auto" w:fill="FFFFFF"/>
            <w:noWrap w:val="0"/>
            <w:vAlign w:val="center"/>
          </w:tcPr>
          <w:p>
            <w:pPr>
              <w:ind w:left="-21" w:leftChars="-10" w:right="-21" w:rightChars="-10"/>
              <w:jc w:val="left"/>
              <w:rPr>
                <w:rFonts w:hint="eastAsia"/>
                <w:szCs w:val="21"/>
              </w:rPr>
            </w:pPr>
            <w:r>
              <w:rPr>
                <w:rFonts w:hint="eastAsia"/>
                <w:szCs w:val="21"/>
              </w:rPr>
              <w:t>中广核核技术及其一致行动人</w:t>
            </w:r>
          </w:p>
        </w:tc>
        <w:tc>
          <w:tcPr>
            <w:tcW w:w="992" w:type="dxa"/>
            <w:shd w:val="clear" w:color="auto" w:fill="FFFFFF"/>
            <w:noWrap w:val="0"/>
            <w:vAlign w:val="center"/>
          </w:tcPr>
          <w:p>
            <w:pPr>
              <w:ind w:left="-21" w:leftChars="-10" w:right="-21" w:rightChars="-10"/>
              <w:rPr>
                <w:rFonts w:hint="eastAsia"/>
                <w:szCs w:val="21"/>
              </w:rPr>
            </w:pPr>
            <w:r>
              <w:rPr>
                <w:rFonts w:hint="eastAsia"/>
                <w:szCs w:val="21"/>
              </w:rPr>
              <w:t>不存在《上市公司收购管理办法》第六条情形</w:t>
            </w:r>
          </w:p>
        </w:tc>
        <w:tc>
          <w:tcPr>
            <w:tcW w:w="6721" w:type="dxa"/>
            <w:shd w:val="clear" w:color="auto" w:fill="FFFFFF"/>
            <w:noWrap w:val="0"/>
            <w:vAlign w:val="center"/>
          </w:tcPr>
          <w:p>
            <w:pPr>
              <w:ind w:left="-21" w:leftChars="-10" w:right="-21" w:rightChars="-10" w:firstLine="420" w:firstLineChars="200"/>
              <w:jc w:val="left"/>
              <w:rPr>
                <w:rFonts w:hint="eastAsia"/>
                <w:szCs w:val="21"/>
              </w:rPr>
            </w:pPr>
            <w:r>
              <w:rPr>
                <w:rFonts w:hint="eastAsia"/>
                <w:szCs w:val="21"/>
              </w:rPr>
              <w:t>本人/本企业不存在违反《上市公司收购管理办法》第六条规定的情形：“任何人不得利用上市公司的收购损害被收购公司及其股东的合法权益。有下列情形之一的，不得收购上市公司：（一）收购人负有数额较大债务，到期未清偿，且处于持续状态；（二）收购人最近3年有重大违法行为或者涉嫌有重大违法行为；（三）收购人最近3年有严重的证券市场失信行为；（四）收购人为自然人的，存在《公司法》第一百四十六条规定情形；（五）法律、行政法规规定以及中国证监会认定的不得收购上市公司的其他情形。”本人/本企业符合本次交易的主体资格，本次交易具备法律、法规等规定的各项实质性条件。</w:t>
            </w:r>
          </w:p>
          <w:p>
            <w:pPr>
              <w:ind w:left="-21" w:leftChars="-10" w:right="-21" w:rightChars="-10" w:firstLine="420" w:firstLineChars="200"/>
              <w:jc w:val="left"/>
              <w:rPr>
                <w:rFonts w:hint="eastAsia"/>
                <w:szCs w:val="21"/>
              </w:rPr>
            </w:pPr>
            <w:r>
              <w:rPr>
                <w:rFonts w:hint="eastAsia"/>
                <w:szCs w:val="21"/>
              </w:rPr>
              <w:t>如本人/本企业违反上述承诺，本人/本企业愿意承担相应的法律责任。</w:t>
            </w:r>
          </w:p>
        </w:tc>
        <w:tc>
          <w:tcPr>
            <w:tcW w:w="972" w:type="dxa"/>
            <w:shd w:val="clear" w:color="auto" w:fill="FFFFFF"/>
            <w:noWrap w:val="0"/>
            <w:vAlign w:val="center"/>
          </w:tcPr>
          <w:p>
            <w:pPr>
              <w:ind w:left="-21" w:leftChars="-10" w:right="-21" w:rightChars="-10"/>
              <w:jc w:val="left"/>
              <w:rPr>
                <w:rFonts w:hint="eastAsia"/>
                <w:szCs w:val="21"/>
              </w:rPr>
            </w:pPr>
            <w:r>
              <w:rPr>
                <w:rFonts w:hint="eastAsia"/>
                <w:szCs w:val="21"/>
              </w:rPr>
              <w:t>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47" w:type="dxa"/>
            <w:shd w:val="clear" w:color="auto" w:fill="FFFFFF"/>
            <w:noWrap w:val="0"/>
            <w:vAlign w:val="center"/>
          </w:tcPr>
          <w:p>
            <w:pPr>
              <w:ind w:left="-21" w:leftChars="-10" w:right="-21" w:rightChars="-10"/>
              <w:jc w:val="left"/>
              <w:rPr>
                <w:rFonts w:hint="eastAsia"/>
                <w:szCs w:val="21"/>
              </w:rPr>
            </w:pPr>
            <w:r>
              <w:rPr>
                <w:rFonts w:hint="eastAsia"/>
                <w:szCs w:val="21"/>
              </w:rPr>
              <w:t>交易对方及配套融资方（不含</w:t>
            </w:r>
            <w:r>
              <w:rPr>
                <w:rFonts w:hint="eastAsia"/>
                <w:color w:val="000000"/>
                <w:szCs w:val="21"/>
              </w:rPr>
              <w:t>中国大连国际经济技术合作集团有限公司</w:t>
            </w:r>
            <w:r>
              <w:rPr>
                <w:rFonts w:hint="eastAsia"/>
                <w:szCs w:val="21"/>
              </w:rPr>
              <w:t>）</w:t>
            </w:r>
          </w:p>
        </w:tc>
        <w:tc>
          <w:tcPr>
            <w:tcW w:w="992" w:type="dxa"/>
            <w:shd w:val="clear" w:color="auto" w:fill="FFFFFF"/>
            <w:noWrap w:val="0"/>
            <w:vAlign w:val="center"/>
          </w:tcPr>
          <w:p>
            <w:pPr>
              <w:ind w:left="-21" w:leftChars="-10" w:right="-21" w:rightChars="-10"/>
              <w:rPr>
                <w:rFonts w:hint="eastAsia"/>
                <w:szCs w:val="21"/>
              </w:rPr>
            </w:pPr>
            <w:r>
              <w:rPr>
                <w:rFonts w:hint="eastAsia"/>
                <w:szCs w:val="21"/>
              </w:rPr>
              <w:t>向上市公司推荐董监高</w:t>
            </w:r>
          </w:p>
        </w:tc>
        <w:tc>
          <w:tcPr>
            <w:tcW w:w="6721" w:type="dxa"/>
            <w:shd w:val="clear" w:color="auto" w:fill="FFFFFF"/>
            <w:noWrap w:val="0"/>
            <w:vAlign w:val="center"/>
          </w:tcPr>
          <w:p>
            <w:pPr>
              <w:ind w:left="-21" w:leftChars="-10" w:right="-21" w:rightChars="-10" w:firstLine="420" w:firstLineChars="200"/>
              <w:jc w:val="left"/>
              <w:rPr>
                <w:rFonts w:hint="eastAsia"/>
                <w:szCs w:val="21"/>
              </w:rPr>
            </w:pPr>
            <w:r>
              <w:rPr>
                <w:rFonts w:hint="eastAsia"/>
                <w:szCs w:val="21"/>
              </w:rPr>
              <w:t>截至本说明签署日，本公司/本企业/本人不存在向大连国际推荐董事、监事、高级管理人员的情形。</w:t>
            </w:r>
          </w:p>
          <w:p>
            <w:pPr>
              <w:ind w:left="-21" w:leftChars="-10" w:right="-21" w:rightChars="-10" w:firstLine="420" w:firstLineChars="200"/>
              <w:jc w:val="left"/>
              <w:rPr>
                <w:rFonts w:hint="eastAsia"/>
                <w:szCs w:val="21"/>
              </w:rPr>
            </w:pPr>
            <w:r>
              <w:rPr>
                <w:rFonts w:hint="eastAsia"/>
                <w:szCs w:val="21"/>
              </w:rPr>
              <w:t>本次重大资产重组完成后，上市公司的股东、资产和业务将发生变化，为适应上市公司未来的发展需要，中广核核技术将通过合法程序对上市公司现任董事、监事及高级管理人员进行必要的调整。截至本说明签署日，中广核核技术及交易对方暂无详细的调整计划，待计划形成后将严格按照相关规定履行程序并按照法定要求及时披露。</w:t>
            </w:r>
          </w:p>
        </w:tc>
        <w:tc>
          <w:tcPr>
            <w:tcW w:w="972" w:type="dxa"/>
            <w:shd w:val="clear" w:color="auto" w:fill="FFFFFF"/>
            <w:noWrap w:val="0"/>
            <w:vAlign w:val="center"/>
          </w:tcPr>
          <w:p>
            <w:pPr>
              <w:ind w:left="-21" w:leftChars="-10" w:right="-21" w:rightChars="-10"/>
              <w:jc w:val="left"/>
              <w:rPr>
                <w:rFonts w:hint="eastAsia"/>
                <w:szCs w:val="21"/>
              </w:rPr>
            </w:pPr>
            <w:r>
              <w:rPr>
                <w:rFonts w:hint="eastAsia"/>
                <w:szCs w:val="21"/>
              </w:rPr>
              <w:t>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47" w:type="dxa"/>
            <w:shd w:val="clear" w:color="auto" w:fill="FFFFFF"/>
            <w:noWrap w:val="0"/>
            <w:vAlign w:val="center"/>
          </w:tcPr>
          <w:p>
            <w:pPr>
              <w:ind w:left="-21" w:leftChars="-10" w:right="-21" w:rightChars="-10"/>
              <w:jc w:val="left"/>
              <w:rPr>
                <w:rFonts w:hint="eastAsia"/>
                <w:szCs w:val="21"/>
              </w:rPr>
            </w:pPr>
            <w:r>
              <w:rPr>
                <w:rFonts w:hint="eastAsia"/>
                <w:szCs w:val="21"/>
              </w:rPr>
              <w:t>交易对方</w:t>
            </w:r>
          </w:p>
        </w:tc>
        <w:tc>
          <w:tcPr>
            <w:tcW w:w="992" w:type="dxa"/>
            <w:shd w:val="clear" w:color="auto" w:fill="FFFFFF"/>
            <w:noWrap w:val="0"/>
            <w:vAlign w:val="center"/>
          </w:tcPr>
          <w:p>
            <w:pPr>
              <w:ind w:left="-21" w:leftChars="-10" w:right="-21" w:rightChars="-10"/>
              <w:rPr>
                <w:rFonts w:hint="eastAsia"/>
                <w:szCs w:val="21"/>
              </w:rPr>
            </w:pPr>
            <w:r>
              <w:rPr>
                <w:rFonts w:hint="eastAsia"/>
                <w:szCs w:val="21"/>
              </w:rPr>
              <w:t>关于资产权属状况及主要负债、或有负债情况</w:t>
            </w:r>
          </w:p>
        </w:tc>
        <w:tc>
          <w:tcPr>
            <w:tcW w:w="6721" w:type="dxa"/>
            <w:shd w:val="clear" w:color="auto" w:fill="FFFFFF"/>
            <w:noWrap w:val="0"/>
            <w:vAlign w:val="center"/>
          </w:tcPr>
          <w:p>
            <w:pPr>
              <w:ind w:left="-21" w:leftChars="-10" w:right="-21" w:rightChars="-10" w:firstLine="420" w:firstLineChars="200"/>
              <w:jc w:val="left"/>
              <w:rPr>
                <w:rFonts w:hint="eastAsia"/>
                <w:szCs w:val="21"/>
              </w:rPr>
            </w:pPr>
            <w:r>
              <w:rPr>
                <w:rFonts w:hint="eastAsia"/>
                <w:szCs w:val="21"/>
              </w:rPr>
              <w:t>一、本人/本企业已经依法履行对标的资产的出资义务，出资均系自有资金，出资真实且已足额到位，不存在任何虚假出资、延期出资、抽逃出资等违反作为股东所应承担的义务及责任的行为，不存在可能影响标的资产合法存续的情况。</w:t>
            </w:r>
          </w:p>
          <w:p>
            <w:pPr>
              <w:ind w:left="-21" w:leftChars="-10" w:right="-21" w:rightChars="-10" w:firstLine="420" w:firstLineChars="200"/>
              <w:jc w:val="left"/>
              <w:rPr>
                <w:rFonts w:hint="eastAsia"/>
                <w:szCs w:val="21"/>
              </w:rPr>
            </w:pPr>
            <w:r>
              <w:rPr>
                <w:rFonts w:hint="eastAsia"/>
                <w:szCs w:val="21"/>
              </w:rPr>
              <w:t>二、本人/本企业合法持有标的资产的股权，对该等股权拥有完整、有效的所有权，该等股权权属清晰，不存在权属争议或者潜在纠纷；截至本承诺函出具之日，本人/本企业持有的标的资产的股权不存在质押、司法冻结或其他权利受到限制的情形。</w:t>
            </w:r>
          </w:p>
          <w:p>
            <w:pPr>
              <w:ind w:left="-21" w:leftChars="-10" w:right="-21" w:rightChars="-10" w:firstLine="420" w:firstLineChars="200"/>
              <w:jc w:val="left"/>
              <w:rPr>
                <w:rFonts w:hint="eastAsia"/>
                <w:szCs w:val="21"/>
              </w:rPr>
            </w:pPr>
            <w:r>
              <w:rPr>
                <w:rFonts w:hint="eastAsia"/>
                <w:szCs w:val="21"/>
              </w:rPr>
              <w:t>三、本人/本企业持有的标的资产的股权不存在委托持股、信托持股、其他利益输送安排及任何其他可能使本人/本企业持有的标的资产股权存在争议或潜在争议的情况。</w:t>
            </w:r>
          </w:p>
          <w:p>
            <w:pPr>
              <w:ind w:left="-21" w:leftChars="-10" w:right="-21" w:rightChars="-10" w:firstLine="420" w:firstLineChars="200"/>
              <w:jc w:val="left"/>
              <w:rPr>
                <w:rFonts w:hint="eastAsia"/>
                <w:szCs w:val="21"/>
              </w:rPr>
            </w:pPr>
            <w:r>
              <w:rPr>
                <w:rFonts w:hint="eastAsia"/>
                <w:szCs w:val="21"/>
              </w:rPr>
              <w:t>四、本人/本企业已真实、准确、完整地披露了标的资产的主要资产、债权债务及或有负债情况，标的资产对其主要资产拥有完整的所有权和使用权，不存在权属争议或潜在纠纷；标的资产的主要债务、或有负债均系基于正常生产经营活动而产生，除经审计的正常建制的帐册和记录上所反映的情况外，标的资产不存在其他未披露的重大债权债务、或有负债。</w:t>
            </w:r>
          </w:p>
        </w:tc>
        <w:tc>
          <w:tcPr>
            <w:tcW w:w="972" w:type="dxa"/>
            <w:shd w:val="clear" w:color="auto" w:fill="FFFFFF"/>
            <w:noWrap w:val="0"/>
            <w:vAlign w:val="center"/>
          </w:tcPr>
          <w:p>
            <w:pPr>
              <w:ind w:left="-21" w:leftChars="-10" w:right="-21" w:rightChars="-10"/>
              <w:jc w:val="left"/>
              <w:rPr>
                <w:rFonts w:hint="eastAsia"/>
                <w:szCs w:val="21"/>
              </w:rPr>
            </w:pPr>
            <w:r>
              <w:rPr>
                <w:rFonts w:hint="eastAsia"/>
                <w:szCs w:val="21"/>
              </w:rPr>
              <w:t>履行完毕</w:t>
            </w:r>
          </w:p>
        </w:tc>
      </w:tr>
    </w:tbl>
    <w:p>
      <w:pPr>
        <w:adjustRightInd w:val="0"/>
        <w:snapToGrid w:val="0"/>
        <w:spacing w:line="360" w:lineRule="auto"/>
        <w:ind w:firstLine="482" w:firstLineChars="200"/>
        <w:rPr>
          <w:rFonts w:hint="eastAsia"/>
          <w:szCs w:val="21"/>
        </w:rPr>
      </w:pPr>
      <w:r>
        <w:rPr>
          <w:rFonts w:hint="eastAsia"/>
          <w:b/>
          <w:bCs/>
          <w:sz w:val="24"/>
          <w:szCs w:val="24"/>
        </w:rPr>
        <w:t>综上，本次申请解除股份限售的股东均严格履行了上述各项承诺</w:t>
      </w:r>
      <w:r>
        <w:rPr>
          <w:rFonts w:hint="eastAsia"/>
          <w:sz w:val="24"/>
          <w:szCs w:val="24"/>
        </w:rPr>
        <w:t>。</w:t>
      </w:r>
    </w:p>
    <w:p>
      <w:pPr>
        <w:adjustRightInd w:val="0"/>
        <w:snapToGrid w:val="0"/>
        <w:spacing w:line="360" w:lineRule="auto"/>
        <w:ind w:firstLine="482" w:firstLineChars="200"/>
        <w:outlineLvl w:val="1"/>
        <w:rPr>
          <w:b/>
          <w:color w:val="000000"/>
          <w:sz w:val="24"/>
          <w:szCs w:val="24"/>
        </w:rPr>
      </w:pPr>
      <w:r>
        <w:rPr>
          <w:rFonts w:hint="eastAsia"/>
          <w:b/>
          <w:color w:val="000000"/>
          <w:sz w:val="24"/>
          <w:szCs w:val="24"/>
        </w:rPr>
        <w:t>（二）其他说明</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2016年重大资产重组时，置入资产业绩承诺是按照每家目标公司净利润的合计数作出，并非每家目标公司单独作出，因此由中广核核技术单独与上市公司签署了《盈利补偿协议》及其相关协议，约定由中广核核技术承担目标公司业绩承诺未完成的补偿责任，用于盈利补偿或减值补偿的股份包括中广核核技术自身因出售标的资产而获得的上市股份以及中广核核技术指定的其他交易对方向上市公司自愿交付的上市公司股份。</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由于中广核核技术承担了业绩承诺未完成的兜底补偿责任，为明确其它目标公司股东的权利与义务，中广核核技术与重大资产重组注入资产七家目标公司中广核高新核材集团有限公司</w:t>
      </w:r>
      <w:r>
        <w:rPr>
          <w:rFonts w:hint="eastAsia"/>
          <w:color w:val="000000"/>
          <w:sz w:val="24"/>
          <w:szCs w:val="24"/>
          <w:lang w:eastAsia="zh-CN"/>
        </w:rPr>
        <w:t>（</w:t>
      </w:r>
      <w:r>
        <w:rPr>
          <w:rFonts w:hint="eastAsia"/>
          <w:color w:val="000000"/>
          <w:sz w:val="24"/>
          <w:szCs w:val="24"/>
          <w:lang w:val="en-US" w:eastAsia="zh-CN"/>
        </w:rPr>
        <w:t>以下简称“高新核材”</w:t>
      </w:r>
      <w:r>
        <w:rPr>
          <w:rFonts w:hint="eastAsia"/>
          <w:color w:val="000000"/>
          <w:sz w:val="24"/>
          <w:szCs w:val="24"/>
          <w:lang w:eastAsia="zh-CN"/>
        </w:rPr>
        <w:t>）</w:t>
      </w:r>
      <w:r>
        <w:rPr>
          <w:rFonts w:hint="eastAsia"/>
          <w:color w:val="000000"/>
          <w:sz w:val="24"/>
          <w:szCs w:val="24"/>
        </w:rPr>
        <w:t>、中广核中科海维科技发展有限公司（已更名为中广核辐照技术有限公司，以下简称“中科海维”）、中广核达胜加速器技术有限公司</w:t>
      </w:r>
      <w:r>
        <w:rPr>
          <w:rFonts w:hint="eastAsia"/>
          <w:color w:val="000000"/>
          <w:sz w:val="24"/>
          <w:szCs w:val="24"/>
          <w:lang w:eastAsia="zh-CN"/>
        </w:rPr>
        <w:t>（</w:t>
      </w:r>
      <w:r>
        <w:rPr>
          <w:rFonts w:hint="eastAsia"/>
          <w:color w:val="000000"/>
          <w:sz w:val="24"/>
          <w:szCs w:val="24"/>
          <w:lang w:val="en-US" w:eastAsia="zh-CN"/>
        </w:rPr>
        <w:t>以下简称“达胜”</w:t>
      </w:r>
      <w:r>
        <w:rPr>
          <w:rFonts w:hint="eastAsia"/>
          <w:color w:val="000000"/>
          <w:sz w:val="24"/>
          <w:szCs w:val="24"/>
          <w:lang w:eastAsia="zh-CN"/>
        </w:rPr>
        <w:t>）</w:t>
      </w:r>
      <w:r>
        <w:rPr>
          <w:rFonts w:hint="eastAsia"/>
          <w:color w:val="000000"/>
          <w:sz w:val="24"/>
          <w:szCs w:val="24"/>
        </w:rPr>
        <w:t>、中广核俊尔新材料有限公司</w:t>
      </w:r>
      <w:r>
        <w:rPr>
          <w:rFonts w:hint="eastAsia"/>
          <w:color w:val="000000"/>
          <w:sz w:val="24"/>
          <w:szCs w:val="24"/>
          <w:lang w:eastAsia="zh-CN"/>
        </w:rPr>
        <w:t>（</w:t>
      </w:r>
      <w:r>
        <w:rPr>
          <w:rFonts w:hint="eastAsia"/>
          <w:color w:val="000000"/>
          <w:sz w:val="24"/>
          <w:szCs w:val="24"/>
          <w:lang w:val="en-US" w:eastAsia="zh-CN"/>
        </w:rPr>
        <w:t>以下简称“俊尔”</w:t>
      </w:r>
      <w:r>
        <w:rPr>
          <w:rFonts w:hint="eastAsia"/>
          <w:color w:val="000000"/>
          <w:sz w:val="24"/>
          <w:szCs w:val="24"/>
          <w:lang w:eastAsia="zh-CN"/>
        </w:rPr>
        <w:t>）</w:t>
      </w:r>
      <w:r>
        <w:rPr>
          <w:rFonts w:hint="eastAsia"/>
          <w:color w:val="000000"/>
          <w:sz w:val="24"/>
          <w:szCs w:val="24"/>
        </w:rPr>
        <w:t>、中广核三角洲集团（苏州）特威有限公司</w:t>
      </w:r>
      <w:r>
        <w:rPr>
          <w:rFonts w:hint="eastAsia"/>
          <w:color w:val="000000"/>
          <w:sz w:val="24"/>
          <w:szCs w:val="24"/>
          <w:lang w:eastAsia="zh-CN"/>
        </w:rPr>
        <w:t>（</w:t>
      </w:r>
      <w:r>
        <w:rPr>
          <w:rFonts w:hint="eastAsia"/>
          <w:color w:val="000000"/>
          <w:sz w:val="24"/>
          <w:szCs w:val="24"/>
          <w:lang w:val="en-US" w:eastAsia="zh-CN"/>
        </w:rPr>
        <w:t>以下简称“特威”</w:t>
      </w:r>
      <w:r>
        <w:rPr>
          <w:rFonts w:hint="eastAsia"/>
          <w:color w:val="000000"/>
          <w:sz w:val="24"/>
          <w:szCs w:val="24"/>
          <w:lang w:eastAsia="zh-CN"/>
        </w:rPr>
        <w:t>）</w:t>
      </w:r>
      <w:r>
        <w:rPr>
          <w:rFonts w:hint="eastAsia"/>
          <w:color w:val="000000"/>
          <w:sz w:val="24"/>
          <w:szCs w:val="24"/>
        </w:rPr>
        <w:t>、中广核拓普（湖北）新材料有限公司</w:t>
      </w:r>
      <w:r>
        <w:rPr>
          <w:rFonts w:hint="eastAsia"/>
          <w:color w:val="000000"/>
          <w:sz w:val="24"/>
          <w:szCs w:val="24"/>
          <w:lang w:eastAsia="zh-CN"/>
        </w:rPr>
        <w:t>（</w:t>
      </w:r>
      <w:r>
        <w:rPr>
          <w:rFonts w:hint="eastAsia"/>
          <w:color w:val="000000"/>
          <w:sz w:val="24"/>
          <w:szCs w:val="24"/>
          <w:lang w:val="en-US" w:eastAsia="zh-CN"/>
        </w:rPr>
        <w:t>以下简称“拓普”</w:t>
      </w:r>
      <w:r>
        <w:rPr>
          <w:rFonts w:hint="eastAsia"/>
          <w:color w:val="000000"/>
          <w:sz w:val="24"/>
          <w:szCs w:val="24"/>
          <w:lang w:eastAsia="zh-CN"/>
        </w:rPr>
        <w:t>）</w:t>
      </w:r>
      <w:r>
        <w:rPr>
          <w:rFonts w:hint="eastAsia"/>
          <w:color w:val="000000"/>
          <w:sz w:val="24"/>
          <w:szCs w:val="24"/>
        </w:rPr>
        <w:t>、深圳中广核沃尔辐照技术有限公司</w:t>
      </w:r>
      <w:r>
        <w:rPr>
          <w:rFonts w:hint="eastAsia"/>
          <w:color w:val="000000"/>
          <w:sz w:val="24"/>
          <w:szCs w:val="24"/>
          <w:lang w:eastAsia="zh-CN"/>
        </w:rPr>
        <w:t>（</w:t>
      </w:r>
      <w:r>
        <w:rPr>
          <w:rFonts w:hint="eastAsia"/>
          <w:color w:val="000000"/>
          <w:sz w:val="24"/>
          <w:szCs w:val="24"/>
          <w:lang w:val="en-US" w:eastAsia="zh-CN"/>
        </w:rPr>
        <w:t>已更名为中广核金沃科技有限公司，以下简称“深圳沃尔”</w:t>
      </w:r>
      <w:r>
        <w:rPr>
          <w:rFonts w:hint="eastAsia"/>
          <w:color w:val="000000"/>
          <w:sz w:val="24"/>
          <w:szCs w:val="24"/>
          <w:lang w:eastAsia="zh-CN"/>
        </w:rPr>
        <w:t>）</w:t>
      </w:r>
      <w:r>
        <w:rPr>
          <w:rFonts w:hint="eastAsia"/>
          <w:color w:val="000000"/>
          <w:sz w:val="24"/>
          <w:szCs w:val="24"/>
        </w:rPr>
        <w:t>原少数股东分别签订了关于各目标公司的《资产重组之利润保障协议》，对利润保障、质押与解禁、违约责任等进行了安排，其中关于解除限售约定如下：交易对方所持股份在资产重组利润保障期结束并完成所有清偿义务后，按照中广核核技术收购目标公司时的估值除以上市公司发行股份购买资产的价格（即8.77元/股）的股份可以解禁；剩余股票的50%，于第一批解禁一年后，交易对方及其关联方未违反竞业禁止义务且目标公司最近一年末经审计的归母净利润不低于2018年度经审计的归母净利润时可以解禁；余下股份，于第二批解禁一年后，交易对方及其关联方未违反竞业禁止义务且目标公司最近一年末经审计的归母净利润不低于2018年度经审计的归母净利润时可以解禁；若上述第二批解禁、第三批解禁时未能达到约定要求的，则相应顺延一年，但顺延最长不超过三年。</w:t>
      </w:r>
    </w:p>
    <w:p>
      <w:pPr>
        <w:adjustRightInd w:val="0"/>
        <w:snapToGrid w:val="0"/>
        <w:spacing w:line="360" w:lineRule="auto"/>
        <w:ind w:firstLine="480" w:firstLineChars="200"/>
        <w:rPr>
          <w:rFonts w:hint="eastAsia"/>
          <w:color w:val="000000"/>
          <w:sz w:val="24"/>
          <w:szCs w:val="24"/>
          <w:lang w:val="en-US" w:eastAsia="zh-CN"/>
        </w:rPr>
      </w:pPr>
      <w:r>
        <w:rPr>
          <w:rFonts w:hint="eastAsia"/>
          <w:color w:val="000000"/>
          <w:sz w:val="24"/>
          <w:szCs w:val="24"/>
          <w:lang w:eastAsia="zh-CN"/>
        </w:rPr>
        <w:t>根据中广核核技术申请，上市公司在2020年4月为深圳沃尔、达胜、特威三家公司原小股东办理了首批解禁。</w:t>
      </w:r>
      <w:r>
        <w:rPr>
          <w:rFonts w:hint="eastAsia"/>
          <w:color w:val="000000"/>
          <w:sz w:val="24"/>
          <w:szCs w:val="24"/>
          <w:lang w:val="en-US" w:eastAsia="zh-CN"/>
        </w:rPr>
        <w:t>由于2021年度、2022年度、2023年度扣除非经常性损益后的归属于母公司的净利润均低于资产重组利润保障期最后一年（2018年）的扣除非经常性损益后归属于母公司的净利润，核技术公司未向上市公司申请为其办理解禁。截止本公告日，由于第二批解禁未能达到约定要求的时间已顺延3年且经过中广核核技术核实其未违反竞业限制义务，已满足第二批解禁条件，核技术公司向上市公司申请为其办理第二批股票解禁。</w:t>
      </w:r>
    </w:p>
    <w:p>
      <w:pPr>
        <w:adjustRightInd w:val="0"/>
        <w:snapToGrid w:val="0"/>
        <w:spacing w:line="360" w:lineRule="auto"/>
        <w:ind w:firstLine="480" w:firstLineChars="200"/>
        <w:rPr>
          <w:rFonts w:hint="default"/>
          <w:color w:val="000000"/>
          <w:sz w:val="24"/>
          <w:szCs w:val="24"/>
          <w:lang w:val="en-US" w:eastAsia="zh-CN"/>
        </w:rPr>
      </w:pPr>
      <w:r>
        <w:rPr>
          <w:rFonts w:hint="default"/>
          <w:color w:val="000000"/>
          <w:sz w:val="24"/>
          <w:szCs w:val="24"/>
          <w:lang w:val="en-US" w:eastAsia="zh-CN"/>
        </w:rPr>
        <w:t>根据中广核核技术申请，上市公司在202</w:t>
      </w:r>
      <w:r>
        <w:rPr>
          <w:rFonts w:hint="eastAsia"/>
          <w:color w:val="000000"/>
          <w:sz w:val="24"/>
          <w:szCs w:val="24"/>
          <w:lang w:val="en-US" w:eastAsia="zh-CN"/>
        </w:rPr>
        <w:t>1</w:t>
      </w:r>
      <w:r>
        <w:rPr>
          <w:rFonts w:hint="default"/>
          <w:color w:val="000000"/>
          <w:sz w:val="24"/>
          <w:szCs w:val="24"/>
          <w:lang w:val="en-US" w:eastAsia="zh-CN"/>
        </w:rPr>
        <w:t>年</w:t>
      </w:r>
      <w:r>
        <w:rPr>
          <w:rFonts w:hint="eastAsia"/>
          <w:color w:val="000000"/>
          <w:sz w:val="24"/>
          <w:szCs w:val="24"/>
          <w:lang w:val="en-US" w:eastAsia="zh-CN"/>
        </w:rPr>
        <w:t>1</w:t>
      </w:r>
      <w:r>
        <w:rPr>
          <w:rFonts w:hint="default"/>
          <w:color w:val="000000"/>
          <w:sz w:val="24"/>
          <w:szCs w:val="24"/>
          <w:lang w:val="en-US" w:eastAsia="zh-CN"/>
        </w:rPr>
        <w:t>月为中科海维原小股东办理了首批解禁</w:t>
      </w:r>
      <w:r>
        <w:rPr>
          <w:rFonts w:hint="eastAsia"/>
          <w:color w:val="000000"/>
          <w:sz w:val="24"/>
          <w:szCs w:val="24"/>
          <w:lang w:val="en-US" w:eastAsia="zh-CN"/>
        </w:rPr>
        <w:t>，在2022年7月办理了第二批解禁</w:t>
      </w:r>
      <w:r>
        <w:rPr>
          <w:rFonts w:hint="default"/>
          <w:color w:val="000000"/>
          <w:sz w:val="24"/>
          <w:szCs w:val="24"/>
          <w:lang w:val="en-US" w:eastAsia="zh-CN"/>
        </w:rPr>
        <w:t>。由于2022年度扣除非经常性损益后的归属于母公司的净利润</w:t>
      </w:r>
      <w:r>
        <w:rPr>
          <w:rFonts w:hint="eastAsia"/>
          <w:color w:val="000000"/>
          <w:sz w:val="24"/>
          <w:szCs w:val="24"/>
          <w:lang w:val="en-US" w:eastAsia="zh-CN"/>
        </w:rPr>
        <w:t>高</w:t>
      </w:r>
      <w:r>
        <w:rPr>
          <w:rFonts w:hint="default"/>
          <w:color w:val="000000"/>
          <w:sz w:val="24"/>
          <w:szCs w:val="24"/>
          <w:lang w:val="en-US" w:eastAsia="zh-CN"/>
        </w:rPr>
        <w:t>于资产重组利润保障期最后一年（2018年）的扣除非经常性损益后归属于母公司的净利润，且经过中广核核技术核实</w:t>
      </w:r>
      <w:r>
        <w:rPr>
          <w:rFonts w:hint="eastAsia"/>
          <w:color w:val="000000"/>
          <w:sz w:val="24"/>
          <w:szCs w:val="24"/>
          <w:lang w:val="en-US" w:eastAsia="zh-CN"/>
        </w:rPr>
        <w:t>其</w:t>
      </w:r>
      <w:r>
        <w:rPr>
          <w:rFonts w:hint="default"/>
          <w:color w:val="000000"/>
          <w:sz w:val="24"/>
          <w:szCs w:val="24"/>
          <w:lang w:val="en-US" w:eastAsia="zh-CN"/>
        </w:rPr>
        <w:t>未违反竞业限制义务，已满足第</w:t>
      </w:r>
      <w:r>
        <w:rPr>
          <w:rFonts w:hint="eastAsia"/>
          <w:color w:val="000000"/>
          <w:sz w:val="24"/>
          <w:szCs w:val="24"/>
          <w:lang w:val="en-US" w:eastAsia="zh-CN"/>
        </w:rPr>
        <w:t>三</w:t>
      </w:r>
      <w:r>
        <w:rPr>
          <w:rFonts w:hint="default"/>
          <w:color w:val="000000"/>
          <w:sz w:val="24"/>
          <w:szCs w:val="24"/>
          <w:lang w:val="en-US" w:eastAsia="zh-CN"/>
        </w:rPr>
        <w:t>批解禁条件，核技术公司向上市公司申请为其办理第</w:t>
      </w:r>
      <w:r>
        <w:rPr>
          <w:rFonts w:hint="eastAsia"/>
          <w:color w:val="000000"/>
          <w:sz w:val="24"/>
          <w:szCs w:val="24"/>
          <w:lang w:val="en-US" w:eastAsia="zh-CN"/>
        </w:rPr>
        <w:t>三</w:t>
      </w:r>
      <w:r>
        <w:rPr>
          <w:rFonts w:hint="default"/>
          <w:color w:val="000000"/>
          <w:sz w:val="24"/>
          <w:szCs w:val="24"/>
          <w:lang w:val="en-US" w:eastAsia="zh-CN"/>
        </w:rPr>
        <w:t>批股票解禁。</w:t>
      </w:r>
    </w:p>
    <w:p>
      <w:pPr>
        <w:adjustRightInd w:val="0"/>
        <w:snapToGrid w:val="0"/>
        <w:spacing w:line="360" w:lineRule="auto"/>
        <w:ind w:firstLine="480" w:firstLineChars="200"/>
        <w:rPr>
          <w:rFonts w:hint="eastAsia"/>
          <w:sz w:val="24"/>
          <w:szCs w:val="24"/>
        </w:rPr>
      </w:pPr>
      <w:r>
        <w:rPr>
          <w:rFonts w:hint="eastAsia"/>
          <w:color w:val="000000"/>
          <w:sz w:val="24"/>
          <w:szCs w:val="24"/>
        </w:rPr>
        <w:t>上述协议签署方中科海维</w:t>
      </w:r>
      <w:r>
        <w:rPr>
          <w:rFonts w:hint="eastAsia"/>
          <w:color w:val="000000"/>
          <w:sz w:val="24"/>
          <w:szCs w:val="24"/>
          <w:lang w:eastAsia="zh-CN"/>
        </w:rPr>
        <w:t>、</w:t>
      </w:r>
      <w:r>
        <w:rPr>
          <w:rFonts w:hint="eastAsia"/>
          <w:color w:val="000000"/>
          <w:sz w:val="24"/>
          <w:szCs w:val="24"/>
        </w:rPr>
        <w:t>深圳沃尔、达胜、特威原中小股东依据《资产重组之利润保障协议》约定向上市公司董事会申请限售股份上市流通，并委托公司董事会办理相关手续。因此公司本次根据《上市公司自律监管指引第1号——主板上市公司规范运作》的规定、《资产重组之利润保障协议》的约定以及履约情况办理股份解限售工作。</w:t>
      </w:r>
    </w:p>
    <w:p>
      <w:pPr>
        <w:adjustRightInd w:val="0"/>
        <w:snapToGrid w:val="0"/>
        <w:spacing w:line="360" w:lineRule="auto"/>
        <w:ind w:firstLine="482" w:firstLineChars="200"/>
        <w:outlineLvl w:val="1"/>
        <w:rPr>
          <w:rFonts w:hint="eastAsia"/>
          <w:b/>
          <w:color w:val="000000"/>
          <w:sz w:val="24"/>
          <w:szCs w:val="24"/>
        </w:rPr>
      </w:pPr>
      <w:r>
        <w:rPr>
          <w:rFonts w:hint="eastAsia"/>
          <w:b/>
          <w:color w:val="000000"/>
          <w:sz w:val="24"/>
          <w:szCs w:val="24"/>
        </w:rPr>
        <w:t>（三）本次申请解除限售股东是否存在非经营性占用资金等情况</w:t>
      </w:r>
    </w:p>
    <w:p>
      <w:pPr>
        <w:adjustRightInd w:val="0"/>
        <w:snapToGrid w:val="0"/>
        <w:spacing w:line="360" w:lineRule="auto"/>
        <w:ind w:firstLine="480" w:firstLineChars="200"/>
        <w:rPr>
          <w:rFonts w:hint="eastAsia"/>
          <w:sz w:val="24"/>
          <w:szCs w:val="24"/>
        </w:rPr>
      </w:pPr>
      <w:r>
        <w:rPr>
          <w:rFonts w:hint="eastAsia"/>
          <w:sz w:val="24"/>
          <w:szCs w:val="24"/>
        </w:rPr>
        <w:t>本次申请解除股份限售的股东均不存在对公司的非经营性资金占用情况，公司亦不存在对该等股东违规担保情况。</w:t>
      </w:r>
    </w:p>
    <w:p>
      <w:pPr>
        <w:adjustRightInd w:val="0"/>
        <w:snapToGrid w:val="0"/>
        <w:spacing w:before="156" w:beforeLines="50" w:line="360" w:lineRule="auto"/>
        <w:ind w:firstLine="482" w:firstLineChars="200"/>
        <w:outlineLvl w:val="0"/>
        <w:rPr>
          <w:b/>
          <w:color w:val="000000"/>
          <w:sz w:val="24"/>
          <w:szCs w:val="24"/>
        </w:rPr>
      </w:pPr>
      <w:r>
        <w:rPr>
          <w:rFonts w:hint="eastAsia"/>
          <w:b/>
          <w:color w:val="000000"/>
          <w:sz w:val="24"/>
          <w:szCs w:val="24"/>
        </w:rPr>
        <w:t>三、本次限售股份上市流通安排</w:t>
      </w:r>
    </w:p>
    <w:p>
      <w:pPr>
        <w:adjustRightInd w:val="0"/>
        <w:snapToGrid w:val="0"/>
        <w:spacing w:line="360" w:lineRule="auto"/>
        <w:ind w:firstLine="480" w:firstLineChars="200"/>
        <w:rPr>
          <w:rFonts w:hint="eastAsia"/>
          <w:sz w:val="24"/>
          <w:szCs w:val="24"/>
          <w:highlight w:val="none"/>
        </w:rPr>
      </w:pPr>
      <w:r>
        <w:rPr>
          <w:rFonts w:hint="eastAsia"/>
          <w:sz w:val="24"/>
          <w:szCs w:val="24"/>
          <w:highlight w:val="none"/>
        </w:rPr>
        <w:t>1、本次解除限售的流通股上市日期为202</w:t>
      </w:r>
      <w:r>
        <w:rPr>
          <w:rFonts w:hint="eastAsia"/>
          <w:sz w:val="24"/>
          <w:szCs w:val="24"/>
          <w:highlight w:val="none"/>
          <w:lang w:val="en-US" w:eastAsia="zh-CN"/>
        </w:rPr>
        <w:t>4</w:t>
      </w:r>
      <w:r>
        <w:rPr>
          <w:rFonts w:hint="eastAsia"/>
          <w:sz w:val="24"/>
          <w:szCs w:val="24"/>
          <w:highlight w:val="none"/>
        </w:rPr>
        <w:t>年</w:t>
      </w:r>
      <w:r>
        <w:rPr>
          <w:rFonts w:hint="eastAsia"/>
          <w:sz w:val="24"/>
          <w:szCs w:val="24"/>
          <w:highlight w:val="none"/>
          <w:lang w:val="en-US" w:eastAsia="zh-CN"/>
        </w:rPr>
        <w:t>6</w:t>
      </w:r>
      <w:r>
        <w:rPr>
          <w:rFonts w:hint="eastAsia"/>
          <w:sz w:val="24"/>
          <w:szCs w:val="24"/>
          <w:highlight w:val="none"/>
        </w:rPr>
        <w:t>月</w:t>
      </w:r>
      <w:r>
        <w:rPr>
          <w:rFonts w:hint="eastAsia"/>
          <w:sz w:val="24"/>
          <w:szCs w:val="24"/>
          <w:highlight w:val="none"/>
          <w:lang w:val="en-US" w:eastAsia="zh-CN"/>
        </w:rPr>
        <w:t>5</w:t>
      </w:r>
      <w:r>
        <w:rPr>
          <w:rFonts w:hint="eastAsia"/>
          <w:sz w:val="24"/>
          <w:szCs w:val="24"/>
          <w:highlight w:val="none"/>
        </w:rPr>
        <w:t>日。</w:t>
      </w:r>
    </w:p>
    <w:p>
      <w:pPr>
        <w:adjustRightInd w:val="0"/>
        <w:snapToGrid w:val="0"/>
        <w:spacing w:line="360" w:lineRule="auto"/>
        <w:ind w:firstLine="480" w:firstLineChars="200"/>
        <w:rPr>
          <w:rFonts w:hint="eastAsia"/>
          <w:sz w:val="24"/>
          <w:szCs w:val="24"/>
        </w:rPr>
      </w:pPr>
      <w:r>
        <w:rPr>
          <w:rFonts w:hint="eastAsia"/>
          <w:sz w:val="24"/>
          <w:szCs w:val="24"/>
        </w:rPr>
        <w:t>2、</w:t>
      </w:r>
      <w:r>
        <w:rPr>
          <w:rFonts w:hint="eastAsia"/>
          <w:sz w:val="24"/>
          <w:szCs w:val="24"/>
        </w:rPr>
        <w:tab/>
      </w:r>
      <w:r>
        <w:rPr>
          <w:rFonts w:hint="eastAsia"/>
          <w:sz w:val="24"/>
          <w:szCs w:val="24"/>
        </w:rPr>
        <w:t>根据相关股东提出的解限售申请，本次解除限售的流通股涉及股东23名，解除限售股份数量为14,349,358 股，占公司总股本的1.5178%</w:t>
      </w:r>
      <w:r>
        <w:rPr>
          <w:rFonts w:hint="eastAsia"/>
          <w:sz w:val="24"/>
          <w:szCs w:val="24"/>
          <w:lang w:eastAsia="zh-CN"/>
        </w:rPr>
        <w:t>。</w:t>
      </w:r>
    </w:p>
    <w:p>
      <w:pPr>
        <w:adjustRightInd w:val="0"/>
        <w:snapToGrid w:val="0"/>
        <w:spacing w:line="360" w:lineRule="auto"/>
        <w:ind w:firstLine="480" w:firstLineChars="200"/>
        <w:rPr>
          <w:rFonts w:hint="eastAsia"/>
          <w:sz w:val="24"/>
          <w:szCs w:val="24"/>
        </w:rPr>
      </w:pPr>
      <w:r>
        <w:rPr>
          <w:rFonts w:hint="eastAsia"/>
          <w:sz w:val="24"/>
          <w:szCs w:val="24"/>
        </w:rPr>
        <w:t>具体明细如下：</w:t>
      </w:r>
    </w:p>
    <w:tbl>
      <w:tblPr>
        <w:tblStyle w:val="11"/>
        <w:tblW w:w="90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8"/>
        <w:gridCol w:w="2728"/>
        <w:gridCol w:w="1172"/>
        <w:gridCol w:w="1210"/>
        <w:gridCol w:w="1340"/>
        <w:gridCol w:w="965"/>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72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限售股份持有人名称</w:t>
            </w:r>
          </w:p>
        </w:tc>
        <w:tc>
          <w:tcPr>
            <w:tcW w:w="117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持有限售股份数（股）</w:t>
            </w:r>
          </w:p>
        </w:tc>
        <w:tc>
          <w:tcPr>
            <w:tcW w:w="121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本次可上市流通股数（股）</w:t>
            </w:r>
          </w:p>
        </w:tc>
        <w:tc>
          <w:tcPr>
            <w:tcW w:w="134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本次可上市流通股数占公司总股本的比例（％）</w:t>
            </w:r>
          </w:p>
        </w:tc>
        <w:tc>
          <w:tcPr>
            <w:tcW w:w="96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冻结/标记的股份数量（股）</w:t>
            </w:r>
          </w:p>
        </w:tc>
        <w:tc>
          <w:tcPr>
            <w:tcW w:w="107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深圳市沃尔核材股份有限公司</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197,892</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98,946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0.0105%</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深圳沃尔原小股东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科维（南通）机械有限公司</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497,457</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497,457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0.0526%</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中科海维原小股东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上海日环科技投资有限公司</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366,254</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366,254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0.0387%</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刘斌</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172,338</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172,338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0.0182%</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南通南京大学材料工程技术研究院</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80,675</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80,675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0.0085%</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明亮</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21,551</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21,551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0.0023%</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李德明</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21,302</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21,302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0.0023%</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张宇田</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17,191</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17,191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0.0018%</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施卫国</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12,457</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12,457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0.0013%</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南通海维精密机械有限公司</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10,788</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10,788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0.0011%</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肖林</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10,738</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10,738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0.0011%</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刘永好</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10,090</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10,090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0.0011%</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江苏达胜热缩材料有限公司</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17,590,750</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8,795,375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0.9303%</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达胜原小股东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俞江</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1,904,580</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952,290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0.1007%</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叶启捷</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952,289</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476,145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0.0504%</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高健</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927,291</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463,645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0.0490%</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苏州资达股权投资管理合伙企业（有限合伙）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674,982</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337,491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0.0357%</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苏州君胜股权投资管理合伙企业（有限合伙）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380,082</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190,041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0.0201%</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邢东剑</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254,621</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127,311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0.0135%</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徐红岩</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2,362,184</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1,181,092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0.1249%</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特威原小股东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徐争鸣</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674,909</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337,455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0.0357%</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陆燕</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168,726</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84,363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0.0089%</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2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王郑宏</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168,726</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84,363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0.0089%</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56" w:type="dxa"/>
            <w:gridSpan w:val="2"/>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27,477,873</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14,349,358</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1.5178%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bl>
    <w:p>
      <w:pPr>
        <w:adjustRightInd w:val="0"/>
        <w:snapToGrid w:val="0"/>
        <w:spacing w:line="360" w:lineRule="auto"/>
        <w:ind w:firstLine="420" w:firstLineChars="200"/>
        <w:rPr>
          <w:rFonts w:hint="eastAsia"/>
          <w:sz w:val="21"/>
          <w:szCs w:val="21"/>
          <w:lang w:val="en-US" w:eastAsia="zh-CN"/>
        </w:rPr>
      </w:pPr>
      <w:r>
        <w:rPr>
          <w:rFonts w:hint="eastAsia"/>
          <w:sz w:val="21"/>
          <w:szCs w:val="21"/>
          <w:lang w:val="en-US" w:eastAsia="zh-CN"/>
        </w:rPr>
        <w:t>注：1、限售股份持有人限售股份上市流通不存在其他限制；</w:t>
      </w:r>
    </w:p>
    <w:p>
      <w:pPr>
        <w:numPr>
          <w:ilvl w:val="0"/>
          <w:numId w:val="2"/>
        </w:numPr>
        <w:adjustRightInd w:val="0"/>
        <w:snapToGrid w:val="0"/>
        <w:spacing w:line="360" w:lineRule="auto"/>
        <w:ind w:firstLine="420" w:firstLineChars="200"/>
        <w:rPr>
          <w:rFonts w:hint="eastAsia"/>
          <w:sz w:val="21"/>
          <w:szCs w:val="21"/>
          <w:lang w:val="en-US" w:eastAsia="zh-CN"/>
        </w:rPr>
      </w:pPr>
      <w:r>
        <w:rPr>
          <w:rFonts w:hint="eastAsia"/>
          <w:sz w:val="21"/>
          <w:szCs w:val="21"/>
          <w:lang w:val="en-US" w:eastAsia="zh-CN"/>
        </w:rPr>
        <w:t>限售股份不存在还未履行完毕的承诺；</w:t>
      </w:r>
    </w:p>
    <w:p>
      <w:pPr>
        <w:numPr>
          <w:ilvl w:val="0"/>
          <w:numId w:val="2"/>
        </w:numPr>
        <w:adjustRightInd w:val="0"/>
        <w:snapToGrid w:val="0"/>
        <w:spacing w:line="360" w:lineRule="auto"/>
        <w:ind w:firstLine="420" w:firstLineChars="200"/>
        <w:rPr>
          <w:rFonts w:hint="default" w:eastAsia="宋体"/>
          <w:sz w:val="21"/>
          <w:szCs w:val="21"/>
          <w:lang w:val="en-US" w:eastAsia="zh-CN"/>
        </w:rPr>
      </w:pPr>
      <w:r>
        <w:rPr>
          <w:rFonts w:hint="default"/>
          <w:szCs w:val="21"/>
        </w:rPr>
        <w:t>限售股份持有人</w:t>
      </w:r>
      <w:r>
        <w:rPr>
          <w:rFonts w:hint="eastAsia"/>
          <w:szCs w:val="21"/>
          <w:lang w:val="en-US" w:eastAsia="zh-CN"/>
        </w:rPr>
        <w:t>未</w:t>
      </w:r>
      <w:r>
        <w:rPr>
          <w:rFonts w:hint="default"/>
          <w:szCs w:val="21"/>
        </w:rPr>
        <w:t>担任</w:t>
      </w:r>
      <w:r>
        <w:rPr>
          <w:rFonts w:hint="eastAsia"/>
          <w:szCs w:val="21"/>
          <w:lang w:val="en-US" w:eastAsia="zh-CN"/>
        </w:rPr>
        <w:t>或曾担任</w:t>
      </w:r>
      <w:r>
        <w:rPr>
          <w:rFonts w:hint="default"/>
          <w:szCs w:val="21"/>
        </w:rPr>
        <w:t>公司董事、监事或高级管理人员</w:t>
      </w:r>
      <w:r>
        <w:rPr>
          <w:rFonts w:hint="eastAsia"/>
          <w:szCs w:val="21"/>
          <w:lang w:val="en-US" w:eastAsia="zh-CN"/>
        </w:rPr>
        <w:t>；</w:t>
      </w:r>
    </w:p>
    <w:p>
      <w:pPr>
        <w:numPr>
          <w:ilvl w:val="0"/>
          <w:numId w:val="2"/>
        </w:numPr>
        <w:adjustRightInd w:val="0"/>
        <w:snapToGrid w:val="0"/>
        <w:spacing w:line="360" w:lineRule="auto"/>
        <w:ind w:firstLine="420" w:firstLineChars="200"/>
        <w:rPr>
          <w:rFonts w:hint="default" w:eastAsia="宋体"/>
          <w:sz w:val="21"/>
          <w:szCs w:val="21"/>
          <w:highlight w:val="none"/>
          <w:lang w:val="en-US" w:eastAsia="zh-CN"/>
        </w:rPr>
      </w:pPr>
      <w:r>
        <w:rPr>
          <w:rFonts w:hint="default"/>
          <w:szCs w:val="21"/>
          <w:highlight w:val="none"/>
        </w:rPr>
        <w:t>股东本次解除限售的股份</w:t>
      </w:r>
      <w:r>
        <w:rPr>
          <w:rFonts w:hint="eastAsia"/>
          <w:szCs w:val="21"/>
          <w:highlight w:val="none"/>
          <w:lang w:val="en-US" w:eastAsia="zh-CN"/>
        </w:rPr>
        <w:t>未</w:t>
      </w:r>
      <w:r>
        <w:rPr>
          <w:rFonts w:hint="default"/>
          <w:szCs w:val="21"/>
          <w:highlight w:val="none"/>
        </w:rPr>
        <w:t>处于质押冻结状态</w:t>
      </w:r>
      <w:r>
        <w:rPr>
          <w:rFonts w:hint="eastAsia"/>
          <w:szCs w:val="21"/>
          <w:highlight w:val="none"/>
          <w:lang w:eastAsia="zh-CN"/>
        </w:rPr>
        <w:t>。</w:t>
      </w:r>
    </w:p>
    <w:p>
      <w:pPr>
        <w:numPr>
          <w:ilvl w:val="0"/>
          <w:numId w:val="3"/>
        </w:numPr>
        <w:adjustRightInd w:val="0"/>
        <w:snapToGrid w:val="0"/>
        <w:spacing w:before="156" w:beforeLines="50" w:line="360" w:lineRule="auto"/>
        <w:ind w:firstLine="482" w:firstLineChars="200"/>
        <w:outlineLvl w:val="0"/>
        <w:rPr>
          <w:rFonts w:hint="eastAsia"/>
          <w:b/>
          <w:color w:val="000000"/>
          <w:sz w:val="24"/>
          <w:szCs w:val="24"/>
        </w:rPr>
      </w:pPr>
      <w:r>
        <w:rPr>
          <w:rFonts w:hint="eastAsia"/>
          <w:b/>
          <w:color w:val="000000"/>
          <w:sz w:val="24"/>
          <w:szCs w:val="24"/>
        </w:rPr>
        <w:t>本次解除限售前后公司股本结构</w:t>
      </w:r>
    </w:p>
    <w:tbl>
      <w:tblPr>
        <w:tblStyle w:val="11"/>
        <w:tblW w:w="9192" w:type="dxa"/>
        <w:jc w:val="center"/>
        <w:tblLayout w:type="autofit"/>
        <w:tblCellMar>
          <w:top w:w="0" w:type="dxa"/>
          <w:left w:w="108" w:type="dxa"/>
          <w:bottom w:w="0" w:type="dxa"/>
          <w:right w:w="108" w:type="dxa"/>
        </w:tblCellMar>
      </w:tblPr>
      <w:tblGrid>
        <w:gridCol w:w="2510"/>
        <w:gridCol w:w="1266"/>
        <w:gridCol w:w="1078"/>
        <w:gridCol w:w="1715"/>
        <w:gridCol w:w="1300"/>
        <w:gridCol w:w="1323"/>
      </w:tblGrid>
      <w:tr>
        <w:tblPrEx>
          <w:tblCellMar>
            <w:top w:w="0" w:type="dxa"/>
            <w:left w:w="108" w:type="dxa"/>
            <w:bottom w:w="0" w:type="dxa"/>
            <w:right w:w="108" w:type="dxa"/>
          </w:tblCellMar>
        </w:tblPrEx>
        <w:trPr>
          <w:trHeight w:val="397" w:hRule="atLeast"/>
          <w:jc w:val="center"/>
        </w:trPr>
        <w:tc>
          <w:tcPr>
            <w:tcW w:w="2510" w:type="dxa"/>
            <w:vMerge w:val="restart"/>
            <w:tcBorders>
              <w:top w:val="single" w:color="auto" w:sz="4" w:space="0"/>
              <w:left w:val="single" w:color="auto" w:sz="4" w:space="0"/>
              <w:bottom w:val="single" w:color="auto" w:sz="4" w:space="0"/>
              <w:right w:val="single" w:color="auto" w:sz="4" w:space="0"/>
            </w:tcBorders>
            <w:shd w:val="clear" w:color="000000" w:fill="F2F2F2"/>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股份性质</w:t>
            </w:r>
          </w:p>
        </w:tc>
        <w:tc>
          <w:tcPr>
            <w:tcW w:w="2344" w:type="dxa"/>
            <w:gridSpan w:val="2"/>
            <w:tcBorders>
              <w:top w:val="single" w:color="auto" w:sz="4" w:space="0"/>
              <w:left w:val="single" w:color="auto" w:sz="4" w:space="0"/>
              <w:bottom w:val="single" w:color="auto" w:sz="4" w:space="0"/>
              <w:right w:val="single" w:color="auto" w:sz="4" w:space="0"/>
            </w:tcBorders>
            <w:shd w:val="clear" w:color="000000" w:fill="F2F2F2"/>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本次解除限售前</w:t>
            </w:r>
          </w:p>
        </w:tc>
        <w:tc>
          <w:tcPr>
            <w:tcW w:w="1715" w:type="dxa"/>
            <w:vMerge w:val="restart"/>
            <w:tcBorders>
              <w:top w:val="single" w:color="auto" w:sz="4" w:space="0"/>
              <w:left w:val="single" w:color="auto" w:sz="4" w:space="0"/>
              <w:bottom w:val="single" w:color="auto" w:sz="4" w:space="0"/>
              <w:right w:val="single" w:color="auto" w:sz="4" w:space="0"/>
            </w:tcBorders>
            <w:shd w:val="clear" w:color="000000" w:fill="F2F2F2"/>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本次解除限售股份数量（股）</w:t>
            </w:r>
          </w:p>
        </w:tc>
        <w:tc>
          <w:tcPr>
            <w:tcW w:w="2623" w:type="dxa"/>
            <w:gridSpan w:val="2"/>
            <w:tcBorders>
              <w:top w:val="single" w:color="auto" w:sz="4" w:space="0"/>
              <w:left w:val="single" w:color="auto" w:sz="4" w:space="0"/>
              <w:bottom w:val="single" w:color="auto" w:sz="4" w:space="0"/>
              <w:right w:val="single" w:color="auto" w:sz="4" w:space="0"/>
            </w:tcBorders>
            <w:shd w:val="clear" w:color="000000" w:fill="F2F2F2"/>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本次解除限售后</w:t>
            </w:r>
          </w:p>
        </w:tc>
      </w:tr>
      <w:tr>
        <w:tblPrEx>
          <w:tblCellMar>
            <w:top w:w="0" w:type="dxa"/>
            <w:left w:w="108" w:type="dxa"/>
            <w:bottom w:w="0" w:type="dxa"/>
            <w:right w:w="108" w:type="dxa"/>
          </w:tblCellMar>
        </w:tblPrEx>
        <w:trPr>
          <w:trHeight w:val="397" w:hRule="atLeast"/>
          <w:jc w:val="center"/>
        </w:trPr>
        <w:tc>
          <w:tcPr>
            <w:tcW w:w="251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Cs w:val="21"/>
              </w:rPr>
            </w:pPr>
          </w:p>
        </w:tc>
        <w:tc>
          <w:tcPr>
            <w:tcW w:w="1266" w:type="dxa"/>
            <w:tcBorders>
              <w:top w:val="single" w:color="auto" w:sz="4" w:space="0"/>
              <w:left w:val="single" w:color="auto" w:sz="4" w:space="0"/>
              <w:bottom w:val="single" w:color="auto" w:sz="4" w:space="0"/>
              <w:right w:val="single" w:color="auto" w:sz="4" w:space="0"/>
            </w:tcBorders>
            <w:shd w:val="clear" w:color="000000" w:fill="F2F2F2"/>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股份数量（股）</w:t>
            </w:r>
          </w:p>
        </w:tc>
        <w:tc>
          <w:tcPr>
            <w:tcW w:w="1078" w:type="dxa"/>
            <w:tcBorders>
              <w:top w:val="single" w:color="auto" w:sz="4" w:space="0"/>
              <w:left w:val="single" w:color="auto" w:sz="4" w:space="0"/>
              <w:bottom w:val="single" w:color="auto" w:sz="4" w:space="0"/>
              <w:right w:val="single" w:color="auto" w:sz="4" w:space="0"/>
            </w:tcBorders>
            <w:shd w:val="clear" w:color="000000" w:fill="F2F2F2"/>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比例</w:t>
            </w:r>
          </w:p>
        </w:tc>
        <w:tc>
          <w:tcPr>
            <w:tcW w:w="171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000000" w:fill="F2F2F2"/>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股份数量（股）</w:t>
            </w:r>
          </w:p>
        </w:tc>
        <w:tc>
          <w:tcPr>
            <w:tcW w:w="1323" w:type="dxa"/>
            <w:tcBorders>
              <w:top w:val="single" w:color="auto" w:sz="4" w:space="0"/>
              <w:left w:val="single" w:color="auto" w:sz="4" w:space="0"/>
              <w:bottom w:val="single" w:color="auto" w:sz="4" w:space="0"/>
              <w:right w:val="single" w:color="auto" w:sz="4" w:space="0"/>
            </w:tcBorders>
            <w:shd w:val="clear" w:color="000000" w:fill="F2F2F2"/>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比例</w:t>
            </w:r>
          </w:p>
        </w:tc>
      </w:tr>
      <w:tr>
        <w:tblPrEx>
          <w:tblCellMar>
            <w:top w:w="0" w:type="dxa"/>
            <w:left w:w="108" w:type="dxa"/>
            <w:bottom w:w="0" w:type="dxa"/>
            <w:right w:w="108" w:type="dxa"/>
          </w:tblCellMar>
        </w:tblPrEx>
        <w:trPr>
          <w:trHeight w:val="397" w:hRule="atLeast"/>
          <w:jc w:val="center"/>
        </w:trPr>
        <w:tc>
          <w:tcPr>
            <w:tcW w:w="25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一、限售条件流通股</w:t>
            </w:r>
            <w:r>
              <w:rPr>
                <w:color w:val="000000"/>
                <w:kern w:val="0"/>
                <w:szCs w:val="21"/>
              </w:rPr>
              <w:t>/</w:t>
            </w:r>
            <w:r>
              <w:rPr>
                <w:rFonts w:hint="eastAsia" w:ascii="宋体" w:hAnsi="宋体" w:cs="宋体"/>
                <w:color w:val="000000"/>
                <w:kern w:val="0"/>
                <w:szCs w:val="21"/>
              </w:rPr>
              <w:t>非流通股</w:t>
            </w:r>
          </w:p>
        </w:tc>
        <w:tc>
          <w:tcPr>
            <w:tcW w:w="12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Cs w:val="22"/>
              </w:rPr>
            </w:pPr>
            <w:r>
              <w:rPr>
                <w:rFonts w:hint="default" w:ascii="Times New Roman" w:hAnsi="Times New Roman" w:eastAsia="宋体" w:cs="Times New Roman"/>
                <w:i w:val="0"/>
                <w:iCs w:val="0"/>
                <w:color w:val="000000"/>
                <w:kern w:val="0"/>
                <w:sz w:val="21"/>
                <w:szCs w:val="21"/>
                <w:u w:val="none"/>
                <w:lang w:val="en-US" w:eastAsia="zh-CN" w:bidi="ar"/>
              </w:rPr>
              <w:t>169,431,142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17.92%</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b/>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14,349,358</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155,081,784</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szCs w:val="22"/>
              </w:rPr>
            </w:pPr>
            <w:r>
              <w:rPr>
                <w:rFonts w:hint="default" w:ascii="Times New Roman" w:hAnsi="Times New Roman" w:eastAsia="宋体" w:cs="Times New Roman"/>
                <w:i w:val="0"/>
                <w:iCs w:val="0"/>
                <w:color w:val="000000"/>
                <w:kern w:val="0"/>
                <w:sz w:val="21"/>
                <w:szCs w:val="21"/>
                <w:u w:val="none"/>
                <w:lang w:val="en-US" w:eastAsia="zh-CN" w:bidi="ar"/>
              </w:rPr>
              <w:t>16.40%</w:t>
            </w:r>
          </w:p>
        </w:tc>
      </w:tr>
      <w:tr>
        <w:tblPrEx>
          <w:tblCellMar>
            <w:top w:w="0" w:type="dxa"/>
            <w:left w:w="108" w:type="dxa"/>
            <w:bottom w:w="0" w:type="dxa"/>
            <w:right w:w="108" w:type="dxa"/>
          </w:tblCellMar>
        </w:tblPrEx>
        <w:trPr>
          <w:trHeight w:val="397" w:hRule="atLeast"/>
          <w:jc w:val="center"/>
        </w:trPr>
        <w:tc>
          <w:tcPr>
            <w:tcW w:w="2510" w:type="dxa"/>
            <w:tcBorders>
              <w:top w:val="single" w:color="auto" w:sz="4" w:space="0"/>
              <w:left w:val="single" w:color="auto" w:sz="4" w:space="0"/>
              <w:bottom w:val="single" w:color="auto" w:sz="4" w:space="0"/>
              <w:right w:val="single" w:color="auto" w:sz="4" w:space="0"/>
            </w:tcBorders>
            <w:noWrap w:val="0"/>
            <w:vAlign w:val="center"/>
          </w:tcPr>
          <w:p>
            <w:pPr>
              <w:widowControl/>
              <w:ind w:firstLine="315" w:firstLineChars="150"/>
              <w:rPr>
                <w:rFonts w:ascii="宋体" w:hAnsi="宋体" w:cs="宋体"/>
                <w:color w:val="000000"/>
                <w:kern w:val="0"/>
                <w:szCs w:val="21"/>
              </w:rPr>
            </w:pPr>
            <w:r>
              <w:rPr>
                <w:rFonts w:hint="eastAsia" w:ascii="宋体" w:hAnsi="宋体" w:cs="宋体"/>
                <w:color w:val="000000"/>
                <w:kern w:val="0"/>
                <w:szCs w:val="21"/>
              </w:rPr>
              <w:t>首发后限售股</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szCs w:val="22"/>
              </w:rPr>
            </w:pPr>
            <w:r>
              <w:rPr>
                <w:rFonts w:hint="default" w:ascii="Times New Roman" w:hAnsi="Times New Roman" w:eastAsia="宋体" w:cs="Times New Roman"/>
                <w:i w:val="0"/>
                <w:iCs w:val="0"/>
                <w:color w:val="000000"/>
                <w:kern w:val="0"/>
                <w:sz w:val="21"/>
                <w:szCs w:val="21"/>
                <w:u w:val="none"/>
                <w:lang w:val="en-US" w:eastAsia="zh-CN" w:bidi="ar"/>
              </w:rPr>
              <w:t>168,567,142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17.83%</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b/>
                <w:color w:val="000000"/>
                <w:szCs w:val="21"/>
              </w:rPr>
            </w:pPr>
            <w:r>
              <w:rPr>
                <w:rFonts w:hint="default" w:ascii="Times New Roman" w:hAnsi="Times New Roman" w:eastAsia="宋体" w:cs="Times New Roman"/>
                <w:b/>
                <w:bCs/>
                <w:i w:val="0"/>
                <w:iCs w:val="0"/>
                <w:color w:val="000000"/>
                <w:kern w:val="0"/>
                <w:sz w:val="21"/>
                <w:szCs w:val="21"/>
                <w:u w:val="none"/>
                <w:lang w:val="en-US" w:eastAsia="zh-CN" w:bidi="ar"/>
              </w:rPr>
              <w:t>14,349,358</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154,217,784</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szCs w:val="22"/>
              </w:rPr>
            </w:pPr>
            <w:r>
              <w:rPr>
                <w:rFonts w:hint="default" w:ascii="Times New Roman" w:hAnsi="Times New Roman" w:eastAsia="宋体" w:cs="Times New Roman"/>
                <w:i w:val="0"/>
                <w:iCs w:val="0"/>
                <w:color w:val="000000"/>
                <w:kern w:val="0"/>
                <w:sz w:val="21"/>
                <w:szCs w:val="21"/>
                <w:u w:val="none"/>
                <w:lang w:val="en-US" w:eastAsia="zh-CN" w:bidi="ar"/>
              </w:rPr>
              <w:t>16.31%</w:t>
            </w:r>
          </w:p>
        </w:tc>
      </w:tr>
      <w:tr>
        <w:tblPrEx>
          <w:tblCellMar>
            <w:top w:w="0" w:type="dxa"/>
            <w:left w:w="108" w:type="dxa"/>
            <w:bottom w:w="0" w:type="dxa"/>
            <w:right w:w="108" w:type="dxa"/>
          </w:tblCellMar>
        </w:tblPrEx>
        <w:trPr>
          <w:trHeight w:val="397" w:hRule="atLeast"/>
          <w:jc w:val="center"/>
        </w:trPr>
        <w:tc>
          <w:tcPr>
            <w:tcW w:w="2510" w:type="dxa"/>
            <w:tcBorders>
              <w:top w:val="single" w:color="auto" w:sz="4" w:space="0"/>
              <w:left w:val="single" w:color="auto" w:sz="4" w:space="0"/>
              <w:bottom w:val="single" w:color="auto" w:sz="4" w:space="0"/>
              <w:right w:val="single" w:color="auto" w:sz="4" w:space="0"/>
            </w:tcBorders>
            <w:noWrap w:val="0"/>
            <w:vAlign w:val="center"/>
          </w:tcPr>
          <w:p>
            <w:pPr>
              <w:widowControl/>
              <w:ind w:firstLine="315" w:firstLineChars="150"/>
              <w:rPr>
                <w:rFonts w:ascii="宋体" w:hAnsi="宋体" w:cs="宋体"/>
                <w:color w:val="000000"/>
                <w:kern w:val="0"/>
                <w:szCs w:val="21"/>
              </w:rPr>
            </w:pPr>
            <w:r>
              <w:rPr>
                <w:rFonts w:hint="eastAsia" w:ascii="宋体" w:hAnsi="宋体" w:cs="宋体"/>
                <w:color w:val="000000"/>
                <w:kern w:val="0"/>
                <w:szCs w:val="21"/>
              </w:rPr>
              <w:t>首发前限售股</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szCs w:val="22"/>
              </w:rPr>
            </w:pPr>
            <w:r>
              <w:rPr>
                <w:rFonts w:hint="default" w:ascii="Times New Roman" w:hAnsi="Times New Roman" w:eastAsia="宋体" w:cs="Times New Roman"/>
                <w:i w:val="0"/>
                <w:iCs w:val="0"/>
                <w:color w:val="000000"/>
                <w:kern w:val="0"/>
                <w:sz w:val="21"/>
                <w:szCs w:val="21"/>
                <w:u w:val="none"/>
                <w:lang w:val="en-US" w:eastAsia="zh-CN" w:bidi="ar"/>
              </w:rPr>
              <w:t>864,000</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0.09%</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jc w:val="right"/>
              <w:rPr>
                <w:szCs w:val="22"/>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864,000</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szCs w:val="22"/>
              </w:rPr>
            </w:pPr>
            <w:r>
              <w:rPr>
                <w:rFonts w:hint="default" w:ascii="Times New Roman" w:hAnsi="Times New Roman" w:eastAsia="宋体" w:cs="Times New Roman"/>
                <w:i w:val="0"/>
                <w:iCs w:val="0"/>
                <w:color w:val="000000"/>
                <w:kern w:val="0"/>
                <w:sz w:val="21"/>
                <w:szCs w:val="21"/>
                <w:u w:val="none"/>
                <w:lang w:val="en-US" w:eastAsia="zh-CN" w:bidi="ar"/>
              </w:rPr>
              <w:t>0.09%</w:t>
            </w:r>
          </w:p>
        </w:tc>
      </w:tr>
      <w:tr>
        <w:tblPrEx>
          <w:tblCellMar>
            <w:top w:w="0" w:type="dxa"/>
            <w:left w:w="108" w:type="dxa"/>
            <w:bottom w:w="0" w:type="dxa"/>
            <w:right w:w="108" w:type="dxa"/>
          </w:tblCellMar>
        </w:tblPrEx>
        <w:trPr>
          <w:trHeight w:val="397" w:hRule="atLeast"/>
          <w:jc w:val="center"/>
        </w:trPr>
        <w:tc>
          <w:tcPr>
            <w:tcW w:w="25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二、无限售条件流通股</w:t>
            </w:r>
          </w:p>
        </w:tc>
        <w:tc>
          <w:tcPr>
            <w:tcW w:w="12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Cs w:val="22"/>
              </w:rPr>
            </w:pPr>
            <w:r>
              <w:rPr>
                <w:rFonts w:hint="default" w:ascii="Times New Roman" w:hAnsi="Times New Roman" w:eastAsia="宋体" w:cs="Times New Roman"/>
                <w:i w:val="0"/>
                <w:iCs w:val="0"/>
                <w:color w:val="000000"/>
                <w:kern w:val="0"/>
                <w:sz w:val="21"/>
                <w:szCs w:val="21"/>
                <w:u w:val="none"/>
                <w:lang w:val="en-US" w:eastAsia="zh-CN" w:bidi="ar"/>
              </w:rPr>
              <w:t>775,994,673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82.08%</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jc w:val="right"/>
              <w:rPr>
                <w:szCs w:val="22"/>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790,344,031</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szCs w:val="22"/>
              </w:rPr>
            </w:pPr>
            <w:r>
              <w:rPr>
                <w:rFonts w:hint="default" w:ascii="Times New Roman" w:hAnsi="Times New Roman" w:eastAsia="宋体" w:cs="Times New Roman"/>
                <w:i w:val="0"/>
                <w:iCs w:val="0"/>
                <w:color w:val="000000"/>
                <w:kern w:val="0"/>
                <w:sz w:val="21"/>
                <w:szCs w:val="21"/>
                <w:u w:val="none"/>
                <w:lang w:val="en-US" w:eastAsia="zh-CN" w:bidi="ar"/>
              </w:rPr>
              <w:t>83.60%</w:t>
            </w:r>
          </w:p>
        </w:tc>
      </w:tr>
      <w:tr>
        <w:tblPrEx>
          <w:tblCellMar>
            <w:top w:w="0" w:type="dxa"/>
            <w:left w:w="108" w:type="dxa"/>
            <w:bottom w:w="0" w:type="dxa"/>
            <w:right w:w="108" w:type="dxa"/>
          </w:tblCellMar>
        </w:tblPrEx>
        <w:trPr>
          <w:trHeight w:val="397" w:hRule="atLeast"/>
          <w:jc w:val="center"/>
        </w:trPr>
        <w:tc>
          <w:tcPr>
            <w:tcW w:w="25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三、总股本</w:t>
            </w:r>
          </w:p>
        </w:tc>
        <w:tc>
          <w:tcPr>
            <w:tcW w:w="12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Cs w:val="22"/>
              </w:rPr>
            </w:pPr>
            <w:r>
              <w:rPr>
                <w:rFonts w:hint="default" w:ascii="Times New Roman" w:hAnsi="Times New Roman" w:eastAsia="宋体" w:cs="Times New Roman"/>
                <w:i w:val="0"/>
                <w:iCs w:val="0"/>
                <w:color w:val="000000"/>
                <w:kern w:val="0"/>
                <w:sz w:val="21"/>
                <w:szCs w:val="21"/>
                <w:u w:val="none"/>
                <w:lang w:val="en-US" w:eastAsia="zh-CN" w:bidi="ar"/>
              </w:rPr>
              <w:t>945,425,815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szCs w:val="22"/>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jc w:val="right"/>
              <w:rPr>
                <w:szCs w:val="22"/>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szCs w:val="22"/>
              </w:rPr>
            </w:pPr>
            <w:r>
              <w:rPr>
                <w:rFonts w:hint="default" w:ascii="Times New Roman" w:hAnsi="Times New Roman" w:eastAsia="宋体" w:cs="Times New Roman"/>
                <w:i w:val="0"/>
                <w:iCs w:val="0"/>
                <w:color w:val="000000"/>
                <w:kern w:val="0"/>
                <w:sz w:val="21"/>
                <w:szCs w:val="21"/>
                <w:u w:val="none"/>
                <w:lang w:val="en-US" w:eastAsia="zh-CN" w:bidi="ar"/>
              </w:rPr>
              <w:t>945,425,815</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szCs w:val="22"/>
              </w:rPr>
            </w:pPr>
            <w:r>
              <w:rPr>
                <w:rFonts w:hint="default" w:ascii="Times New Roman" w:hAnsi="Times New Roman" w:eastAsia="宋体" w:cs="Times New Roman"/>
                <w:i w:val="0"/>
                <w:iCs w:val="0"/>
                <w:color w:val="000000"/>
                <w:kern w:val="0"/>
                <w:sz w:val="21"/>
                <w:szCs w:val="21"/>
                <w:u w:val="none"/>
                <w:lang w:val="en-US" w:eastAsia="zh-CN" w:bidi="ar"/>
              </w:rPr>
              <w:t>100.00%</w:t>
            </w:r>
          </w:p>
        </w:tc>
      </w:tr>
    </w:tbl>
    <w:p>
      <w:pPr>
        <w:adjustRightInd w:val="0"/>
        <w:snapToGrid w:val="0"/>
        <w:spacing w:line="360" w:lineRule="auto"/>
        <w:ind w:firstLine="482" w:firstLineChars="200"/>
        <w:rPr>
          <w:b/>
          <w:sz w:val="24"/>
          <w:szCs w:val="24"/>
        </w:rPr>
      </w:pPr>
      <w:r>
        <w:rPr>
          <w:rFonts w:hint="eastAsia"/>
          <w:b/>
          <w:sz w:val="24"/>
          <w:szCs w:val="24"/>
        </w:rPr>
        <w:t>五、财务顾问核查意见</w:t>
      </w:r>
    </w:p>
    <w:p>
      <w:pPr>
        <w:adjustRightInd w:val="0"/>
        <w:snapToGrid w:val="0"/>
        <w:spacing w:line="360" w:lineRule="auto"/>
        <w:ind w:firstLine="480" w:firstLineChars="200"/>
        <w:rPr>
          <w:rFonts w:hint="eastAsia"/>
          <w:sz w:val="24"/>
          <w:szCs w:val="24"/>
        </w:rPr>
      </w:pPr>
      <w:r>
        <w:rPr>
          <w:rFonts w:hint="eastAsia"/>
          <w:sz w:val="24"/>
          <w:szCs w:val="24"/>
        </w:rPr>
        <w:t>经核查，独立财务顾问认为：</w:t>
      </w:r>
    </w:p>
    <w:p>
      <w:pPr>
        <w:adjustRightInd w:val="0"/>
        <w:snapToGrid w:val="0"/>
        <w:spacing w:line="360" w:lineRule="auto"/>
        <w:ind w:firstLine="480" w:firstLineChars="200"/>
        <w:outlineLvl w:val="0"/>
        <w:rPr>
          <w:rFonts w:hint="eastAsia"/>
          <w:b/>
          <w:color w:val="000000"/>
          <w:sz w:val="24"/>
          <w:szCs w:val="24"/>
          <w:highlight w:val="none"/>
        </w:rPr>
      </w:pPr>
      <w:r>
        <w:rPr>
          <w:rFonts w:hint="eastAsia"/>
          <w:sz w:val="24"/>
          <w:szCs w:val="24"/>
          <w:highlight w:val="none"/>
        </w:rPr>
        <w:t>本次上市公司申请部分限售股解除限售符合《中华人民共和国公司法》、《上市公司重大资产重组管理办法》、《深圳证券交易所股票上市规则》等相关法律、法规和规章的要求，本独立财务顾问对中广核技本次限售股份解除限售事项无异议。</w:t>
      </w:r>
    </w:p>
    <w:p>
      <w:pPr>
        <w:adjustRightInd w:val="0"/>
        <w:snapToGrid w:val="0"/>
        <w:spacing w:line="360" w:lineRule="auto"/>
        <w:ind w:firstLine="482" w:firstLineChars="200"/>
        <w:outlineLvl w:val="0"/>
        <w:rPr>
          <w:rFonts w:hint="eastAsia"/>
          <w:b/>
          <w:color w:val="000000"/>
          <w:sz w:val="24"/>
          <w:szCs w:val="24"/>
        </w:rPr>
      </w:pPr>
      <w:r>
        <w:rPr>
          <w:rFonts w:hint="eastAsia"/>
          <w:b/>
          <w:color w:val="000000"/>
          <w:sz w:val="24"/>
          <w:szCs w:val="24"/>
        </w:rPr>
        <w:t>六、备查文件</w:t>
      </w:r>
    </w:p>
    <w:p>
      <w:pPr>
        <w:adjustRightInd w:val="0"/>
        <w:snapToGrid w:val="0"/>
        <w:spacing w:line="360" w:lineRule="auto"/>
        <w:ind w:firstLine="480" w:firstLineChars="200"/>
        <w:rPr>
          <w:rFonts w:hint="eastAsia"/>
          <w:sz w:val="24"/>
          <w:szCs w:val="24"/>
        </w:rPr>
      </w:pPr>
      <w:r>
        <w:rPr>
          <w:rFonts w:hint="eastAsia"/>
          <w:sz w:val="24"/>
          <w:szCs w:val="24"/>
        </w:rPr>
        <w:t>1、限售股份解除限售申请表；</w:t>
      </w:r>
    </w:p>
    <w:p>
      <w:pPr>
        <w:adjustRightInd w:val="0"/>
        <w:snapToGrid w:val="0"/>
        <w:spacing w:line="360" w:lineRule="auto"/>
        <w:ind w:firstLine="480" w:firstLineChars="200"/>
        <w:rPr>
          <w:rFonts w:hint="eastAsia"/>
          <w:sz w:val="24"/>
          <w:szCs w:val="24"/>
        </w:rPr>
      </w:pPr>
      <w:r>
        <w:rPr>
          <w:rFonts w:hint="eastAsia"/>
          <w:sz w:val="24"/>
          <w:szCs w:val="24"/>
        </w:rPr>
        <w:t>2、股份结构表和限售股份明细表；</w:t>
      </w:r>
    </w:p>
    <w:p>
      <w:pPr>
        <w:adjustRightInd w:val="0"/>
        <w:snapToGrid w:val="0"/>
        <w:spacing w:line="360" w:lineRule="auto"/>
        <w:ind w:firstLine="480" w:firstLineChars="200"/>
        <w:rPr>
          <w:rFonts w:hint="eastAsia" w:eastAsia="宋体"/>
          <w:sz w:val="24"/>
          <w:szCs w:val="24"/>
          <w:lang w:val="en-US" w:eastAsia="zh-CN"/>
        </w:rPr>
      </w:pPr>
      <w:r>
        <w:rPr>
          <w:rFonts w:hint="eastAsia"/>
          <w:sz w:val="24"/>
          <w:szCs w:val="24"/>
          <w:lang w:val="en-US" w:eastAsia="zh-CN"/>
        </w:rPr>
        <w:t>3、中德证券有限责任公司关于公司发行股份购买资产并募集配套资金暨关联交易之部分限售股解禁的核查意见。</w:t>
      </w:r>
    </w:p>
    <w:p>
      <w:pPr>
        <w:adjustRightInd w:val="0"/>
        <w:snapToGrid w:val="0"/>
        <w:spacing w:line="360" w:lineRule="auto"/>
        <w:ind w:firstLine="480" w:firstLineChars="200"/>
        <w:rPr>
          <w:rFonts w:hint="eastAsia"/>
          <w:sz w:val="24"/>
          <w:szCs w:val="24"/>
        </w:rPr>
      </w:pPr>
      <w:r>
        <w:rPr>
          <w:rFonts w:hint="eastAsia"/>
          <w:sz w:val="24"/>
          <w:szCs w:val="24"/>
        </w:rPr>
        <w:t>特此公告。</w:t>
      </w:r>
    </w:p>
    <w:p>
      <w:pPr>
        <w:adjustRightInd w:val="0"/>
        <w:snapToGrid w:val="0"/>
        <w:spacing w:line="360" w:lineRule="auto"/>
        <w:ind w:firstLine="480" w:firstLineChars="200"/>
        <w:rPr>
          <w:rFonts w:hint="eastAsia"/>
          <w:sz w:val="24"/>
          <w:szCs w:val="24"/>
        </w:rPr>
      </w:pPr>
    </w:p>
    <w:p>
      <w:pPr>
        <w:adjustRightInd w:val="0"/>
        <w:snapToGrid w:val="0"/>
        <w:spacing w:line="360" w:lineRule="auto"/>
        <w:ind w:firstLine="480" w:firstLineChars="200"/>
        <w:rPr>
          <w:rFonts w:hint="eastAsia"/>
          <w:sz w:val="24"/>
          <w:szCs w:val="24"/>
        </w:rPr>
      </w:pPr>
    </w:p>
    <w:p>
      <w:pPr>
        <w:snapToGrid w:val="0"/>
        <w:spacing w:line="360" w:lineRule="auto"/>
        <w:ind w:firstLine="482" w:firstLineChars="200"/>
        <w:jc w:val="right"/>
        <w:rPr>
          <w:rFonts w:hint="eastAsia"/>
          <w:b/>
          <w:sz w:val="24"/>
          <w:szCs w:val="24"/>
        </w:rPr>
      </w:pPr>
    </w:p>
    <w:p>
      <w:pPr>
        <w:snapToGrid w:val="0"/>
        <w:spacing w:line="360" w:lineRule="auto"/>
        <w:ind w:firstLine="482" w:firstLineChars="200"/>
        <w:jc w:val="right"/>
        <w:rPr>
          <w:rFonts w:hint="eastAsia"/>
          <w:b/>
          <w:sz w:val="24"/>
          <w:szCs w:val="24"/>
        </w:rPr>
      </w:pPr>
      <w:r>
        <w:rPr>
          <w:rFonts w:hint="eastAsia"/>
          <w:b/>
          <w:sz w:val="24"/>
          <w:szCs w:val="24"/>
        </w:rPr>
        <w:t>中广核核技术发展股份有限公司</w:t>
      </w:r>
    </w:p>
    <w:p>
      <w:pPr>
        <w:snapToGrid w:val="0"/>
        <w:spacing w:line="360" w:lineRule="auto"/>
        <w:ind w:firstLine="482" w:firstLineChars="200"/>
        <w:jc w:val="right"/>
        <w:rPr>
          <w:rFonts w:hint="eastAsia"/>
          <w:b/>
          <w:sz w:val="24"/>
          <w:szCs w:val="24"/>
        </w:rPr>
      </w:pPr>
      <w:r>
        <w:rPr>
          <w:rFonts w:hint="eastAsia"/>
          <w:b/>
          <w:sz w:val="24"/>
          <w:szCs w:val="24"/>
        </w:rPr>
        <w:t>董事会</w:t>
      </w:r>
    </w:p>
    <w:p>
      <w:pPr>
        <w:snapToGrid w:val="0"/>
        <w:spacing w:line="360" w:lineRule="auto"/>
        <w:ind w:firstLine="482" w:firstLineChars="200"/>
        <w:jc w:val="right"/>
        <w:rPr>
          <w:rFonts w:hint="eastAsia"/>
          <w:sz w:val="24"/>
          <w:szCs w:val="24"/>
          <w:highlight w:val="none"/>
        </w:rPr>
      </w:pPr>
      <w:r>
        <w:rPr>
          <w:rFonts w:hint="eastAsia"/>
          <w:b/>
          <w:sz w:val="24"/>
          <w:szCs w:val="24"/>
          <w:highlight w:val="none"/>
        </w:rPr>
        <w:t>202</w:t>
      </w:r>
      <w:r>
        <w:rPr>
          <w:rFonts w:hint="eastAsia"/>
          <w:b/>
          <w:sz w:val="24"/>
          <w:szCs w:val="24"/>
          <w:highlight w:val="none"/>
          <w:lang w:val="en-US" w:eastAsia="zh-CN"/>
        </w:rPr>
        <w:t>4</w:t>
      </w:r>
      <w:r>
        <w:rPr>
          <w:rFonts w:hint="eastAsia"/>
          <w:b/>
          <w:sz w:val="24"/>
          <w:szCs w:val="24"/>
          <w:highlight w:val="none"/>
        </w:rPr>
        <w:t>年</w:t>
      </w:r>
      <w:r>
        <w:rPr>
          <w:rFonts w:hint="eastAsia"/>
          <w:b/>
          <w:sz w:val="24"/>
          <w:szCs w:val="24"/>
          <w:highlight w:val="none"/>
          <w:lang w:val="en-US" w:eastAsia="zh-CN"/>
        </w:rPr>
        <w:t>6</w:t>
      </w:r>
      <w:r>
        <w:rPr>
          <w:rFonts w:hint="eastAsia"/>
          <w:b/>
          <w:sz w:val="24"/>
          <w:szCs w:val="24"/>
          <w:highlight w:val="none"/>
        </w:rPr>
        <w:t>月</w:t>
      </w:r>
      <w:r>
        <w:rPr>
          <w:rFonts w:hint="eastAsia"/>
          <w:b/>
          <w:sz w:val="24"/>
          <w:szCs w:val="24"/>
          <w:highlight w:val="none"/>
          <w:lang w:val="en-US" w:eastAsia="zh-CN"/>
        </w:rPr>
        <w:t>3</w:t>
      </w:r>
      <w:r>
        <w:rPr>
          <w:rFonts w:hint="eastAsia"/>
          <w:b/>
          <w:sz w:val="24"/>
          <w:szCs w:val="24"/>
          <w:highlight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abstractNum w:abstractNumId="1">
    <w:nsid w:val="58471C4B"/>
    <w:multiLevelType w:val="singleLevel"/>
    <w:tmpl w:val="58471C4B"/>
    <w:lvl w:ilvl="0" w:tentative="0">
      <w:start w:val="2"/>
      <w:numFmt w:val="decimal"/>
      <w:suff w:val="nothing"/>
      <w:lvlText w:val="%1、"/>
      <w:lvlJc w:val="left"/>
    </w:lvl>
  </w:abstractNum>
  <w:abstractNum w:abstractNumId="2">
    <w:nsid w:val="7ED43EEB"/>
    <w:multiLevelType w:val="singleLevel"/>
    <w:tmpl w:val="7ED43EEB"/>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172A27"/>
    <w:rsid w:val="00001B05"/>
    <w:rsid w:val="00001F37"/>
    <w:rsid w:val="00003433"/>
    <w:rsid w:val="00006111"/>
    <w:rsid w:val="00006252"/>
    <w:rsid w:val="00006642"/>
    <w:rsid w:val="0001160A"/>
    <w:rsid w:val="000117F1"/>
    <w:rsid w:val="00012F55"/>
    <w:rsid w:val="00013BAD"/>
    <w:rsid w:val="0001432E"/>
    <w:rsid w:val="00014478"/>
    <w:rsid w:val="00020FF4"/>
    <w:rsid w:val="000222BF"/>
    <w:rsid w:val="000222C4"/>
    <w:rsid w:val="000223D9"/>
    <w:rsid w:val="00022678"/>
    <w:rsid w:val="000252E3"/>
    <w:rsid w:val="00027656"/>
    <w:rsid w:val="00032084"/>
    <w:rsid w:val="00034B8E"/>
    <w:rsid w:val="00040745"/>
    <w:rsid w:val="000419AF"/>
    <w:rsid w:val="00044800"/>
    <w:rsid w:val="00045B28"/>
    <w:rsid w:val="00052A30"/>
    <w:rsid w:val="0005324B"/>
    <w:rsid w:val="000534B7"/>
    <w:rsid w:val="0005380D"/>
    <w:rsid w:val="00054DFE"/>
    <w:rsid w:val="0005529C"/>
    <w:rsid w:val="000552F7"/>
    <w:rsid w:val="000554BB"/>
    <w:rsid w:val="00055679"/>
    <w:rsid w:val="0005724A"/>
    <w:rsid w:val="000579AD"/>
    <w:rsid w:val="00062129"/>
    <w:rsid w:val="000625EC"/>
    <w:rsid w:val="00062E11"/>
    <w:rsid w:val="00063A9B"/>
    <w:rsid w:val="00063EC4"/>
    <w:rsid w:val="00063F7F"/>
    <w:rsid w:val="000645B1"/>
    <w:rsid w:val="00064887"/>
    <w:rsid w:val="0006546C"/>
    <w:rsid w:val="00070092"/>
    <w:rsid w:val="00071CE2"/>
    <w:rsid w:val="000734B2"/>
    <w:rsid w:val="000736D4"/>
    <w:rsid w:val="00073A6D"/>
    <w:rsid w:val="000754D0"/>
    <w:rsid w:val="00076C2D"/>
    <w:rsid w:val="00080D02"/>
    <w:rsid w:val="00081090"/>
    <w:rsid w:val="00081A66"/>
    <w:rsid w:val="000828BD"/>
    <w:rsid w:val="00082936"/>
    <w:rsid w:val="000868C9"/>
    <w:rsid w:val="00090342"/>
    <w:rsid w:val="00092F89"/>
    <w:rsid w:val="000933BE"/>
    <w:rsid w:val="00093C0D"/>
    <w:rsid w:val="00093D3F"/>
    <w:rsid w:val="000A68BD"/>
    <w:rsid w:val="000B22DD"/>
    <w:rsid w:val="000B3357"/>
    <w:rsid w:val="000B3495"/>
    <w:rsid w:val="000B5EC3"/>
    <w:rsid w:val="000C398E"/>
    <w:rsid w:val="000C5887"/>
    <w:rsid w:val="000C5E04"/>
    <w:rsid w:val="000C71E5"/>
    <w:rsid w:val="000C72FB"/>
    <w:rsid w:val="000D1032"/>
    <w:rsid w:val="000D3D05"/>
    <w:rsid w:val="000D576E"/>
    <w:rsid w:val="000D6F96"/>
    <w:rsid w:val="000D7118"/>
    <w:rsid w:val="000E03B2"/>
    <w:rsid w:val="000E4970"/>
    <w:rsid w:val="000E4DC9"/>
    <w:rsid w:val="000E4FF5"/>
    <w:rsid w:val="000E577C"/>
    <w:rsid w:val="000E6CD7"/>
    <w:rsid w:val="000F0B77"/>
    <w:rsid w:val="000F26C4"/>
    <w:rsid w:val="000F3FEE"/>
    <w:rsid w:val="000F4132"/>
    <w:rsid w:val="000F55F2"/>
    <w:rsid w:val="000F69B3"/>
    <w:rsid w:val="000F6D10"/>
    <w:rsid w:val="000F7775"/>
    <w:rsid w:val="00101550"/>
    <w:rsid w:val="0010244E"/>
    <w:rsid w:val="00106F54"/>
    <w:rsid w:val="00106F91"/>
    <w:rsid w:val="001077F4"/>
    <w:rsid w:val="001119E9"/>
    <w:rsid w:val="0011228F"/>
    <w:rsid w:val="00113D3C"/>
    <w:rsid w:val="00120AE3"/>
    <w:rsid w:val="00121480"/>
    <w:rsid w:val="00121892"/>
    <w:rsid w:val="00122815"/>
    <w:rsid w:val="00122928"/>
    <w:rsid w:val="00123286"/>
    <w:rsid w:val="00123294"/>
    <w:rsid w:val="001251EB"/>
    <w:rsid w:val="00127F6A"/>
    <w:rsid w:val="0013019C"/>
    <w:rsid w:val="00130517"/>
    <w:rsid w:val="0013103A"/>
    <w:rsid w:val="0013112A"/>
    <w:rsid w:val="0013167E"/>
    <w:rsid w:val="001318C3"/>
    <w:rsid w:val="00132C15"/>
    <w:rsid w:val="001330A5"/>
    <w:rsid w:val="00133D2D"/>
    <w:rsid w:val="00135105"/>
    <w:rsid w:val="0013696E"/>
    <w:rsid w:val="00136AC4"/>
    <w:rsid w:val="00140B6F"/>
    <w:rsid w:val="00141765"/>
    <w:rsid w:val="00142B07"/>
    <w:rsid w:val="00142DF0"/>
    <w:rsid w:val="00143646"/>
    <w:rsid w:val="00147D93"/>
    <w:rsid w:val="00150D93"/>
    <w:rsid w:val="00152F22"/>
    <w:rsid w:val="00155356"/>
    <w:rsid w:val="00155717"/>
    <w:rsid w:val="001612EE"/>
    <w:rsid w:val="001672F9"/>
    <w:rsid w:val="00170A21"/>
    <w:rsid w:val="001711B8"/>
    <w:rsid w:val="001735A0"/>
    <w:rsid w:val="00174E35"/>
    <w:rsid w:val="00175408"/>
    <w:rsid w:val="001758B5"/>
    <w:rsid w:val="00175CBF"/>
    <w:rsid w:val="001779E1"/>
    <w:rsid w:val="00180636"/>
    <w:rsid w:val="00182210"/>
    <w:rsid w:val="001840D3"/>
    <w:rsid w:val="001851C6"/>
    <w:rsid w:val="00185C3C"/>
    <w:rsid w:val="00186CD1"/>
    <w:rsid w:val="0018705C"/>
    <w:rsid w:val="00190AA3"/>
    <w:rsid w:val="001918B3"/>
    <w:rsid w:val="00191A44"/>
    <w:rsid w:val="0019389A"/>
    <w:rsid w:val="00193EE4"/>
    <w:rsid w:val="0019426B"/>
    <w:rsid w:val="001943AE"/>
    <w:rsid w:val="00196DD8"/>
    <w:rsid w:val="001A077E"/>
    <w:rsid w:val="001A26DE"/>
    <w:rsid w:val="001A27C9"/>
    <w:rsid w:val="001A6DBB"/>
    <w:rsid w:val="001A726D"/>
    <w:rsid w:val="001A734A"/>
    <w:rsid w:val="001A75E0"/>
    <w:rsid w:val="001B1368"/>
    <w:rsid w:val="001B4071"/>
    <w:rsid w:val="001B4ADD"/>
    <w:rsid w:val="001B7ED7"/>
    <w:rsid w:val="001C0A65"/>
    <w:rsid w:val="001C5403"/>
    <w:rsid w:val="001D1FD2"/>
    <w:rsid w:val="001D27C2"/>
    <w:rsid w:val="001D3241"/>
    <w:rsid w:val="001D4F4C"/>
    <w:rsid w:val="001D7325"/>
    <w:rsid w:val="001D7953"/>
    <w:rsid w:val="001E1800"/>
    <w:rsid w:val="001E1D35"/>
    <w:rsid w:val="001E504C"/>
    <w:rsid w:val="001E5811"/>
    <w:rsid w:val="001E6767"/>
    <w:rsid w:val="001F1297"/>
    <w:rsid w:val="001F5845"/>
    <w:rsid w:val="001F5D02"/>
    <w:rsid w:val="001F6AA1"/>
    <w:rsid w:val="001F6E32"/>
    <w:rsid w:val="001F7A38"/>
    <w:rsid w:val="00200618"/>
    <w:rsid w:val="00202B9A"/>
    <w:rsid w:val="00202BCE"/>
    <w:rsid w:val="00203CC6"/>
    <w:rsid w:val="002042D4"/>
    <w:rsid w:val="0021237C"/>
    <w:rsid w:val="00213050"/>
    <w:rsid w:val="00214E1D"/>
    <w:rsid w:val="0021591A"/>
    <w:rsid w:val="0022058F"/>
    <w:rsid w:val="002219F2"/>
    <w:rsid w:val="00223DAB"/>
    <w:rsid w:val="00223FEE"/>
    <w:rsid w:val="00225612"/>
    <w:rsid w:val="0022595D"/>
    <w:rsid w:val="00227D09"/>
    <w:rsid w:val="00231314"/>
    <w:rsid w:val="00231432"/>
    <w:rsid w:val="00232CED"/>
    <w:rsid w:val="0023342D"/>
    <w:rsid w:val="002355FC"/>
    <w:rsid w:val="00241B2A"/>
    <w:rsid w:val="00242C66"/>
    <w:rsid w:val="00242CE8"/>
    <w:rsid w:val="0024446D"/>
    <w:rsid w:val="0024605D"/>
    <w:rsid w:val="00252B3B"/>
    <w:rsid w:val="00253EB5"/>
    <w:rsid w:val="002572B1"/>
    <w:rsid w:val="0025767F"/>
    <w:rsid w:val="0026017F"/>
    <w:rsid w:val="00261D1D"/>
    <w:rsid w:val="0026213E"/>
    <w:rsid w:val="002654A6"/>
    <w:rsid w:val="00265BF8"/>
    <w:rsid w:val="00266E89"/>
    <w:rsid w:val="00267A6E"/>
    <w:rsid w:val="00271AAE"/>
    <w:rsid w:val="002721D6"/>
    <w:rsid w:val="002733BF"/>
    <w:rsid w:val="002737B3"/>
    <w:rsid w:val="00273AF5"/>
    <w:rsid w:val="00276376"/>
    <w:rsid w:val="002815FE"/>
    <w:rsid w:val="00285ECD"/>
    <w:rsid w:val="00286896"/>
    <w:rsid w:val="00290088"/>
    <w:rsid w:val="00290FC2"/>
    <w:rsid w:val="0029131D"/>
    <w:rsid w:val="00292860"/>
    <w:rsid w:val="00295EA0"/>
    <w:rsid w:val="00296EE8"/>
    <w:rsid w:val="002A4FCB"/>
    <w:rsid w:val="002A5C87"/>
    <w:rsid w:val="002A715F"/>
    <w:rsid w:val="002B22B3"/>
    <w:rsid w:val="002C4293"/>
    <w:rsid w:val="002C6EB6"/>
    <w:rsid w:val="002D0DC6"/>
    <w:rsid w:val="002D2BD5"/>
    <w:rsid w:val="002D4AB5"/>
    <w:rsid w:val="002D5805"/>
    <w:rsid w:val="002D746D"/>
    <w:rsid w:val="002D7DFE"/>
    <w:rsid w:val="002E00D5"/>
    <w:rsid w:val="002E03A2"/>
    <w:rsid w:val="002E3597"/>
    <w:rsid w:val="002E3DE1"/>
    <w:rsid w:val="002E76CE"/>
    <w:rsid w:val="002E7E85"/>
    <w:rsid w:val="002E7F16"/>
    <w:rsid w:val="002F0134"/>
    <w:rsid w:val="002F15EF"/>
    <w:rsid w:val="002F6272"/>
    <w:rsid w:val="002F6340"/>
    <w:rsid w:val="00301A2A"/>
    <w:rsid w:val="0030260F"/>
    <w:rsid w:val="00302905"/>
    <w:rsid w:val="003035D6"/>
    <w:rsid w:val="003062F8"/>
    <w:rsid w:val="003063A6"/>
    <w:rsid w:val="003106C4"/>
    <w:rsid w:val="00310B85"/>
    <w:rsid w:val="00310EFD"/>
    <w:rsid w:val="0031131E"/>
    <w:rsid w:val="003134E1"/>
    <w:rsid w:val="00315795"/>
    <w:rsid w:val="00316DA2"/>
    <w:rsid w:val="00320ACB"/>
    <w:rsid w:val="00320CCE"/>
    <w:rsid w:val="0032419B"/>
    <w:rsid w:val="0032728A"/>
    <w:rsid w:val="00327C50"/>
    <w:rsid w:val="003311DF"/>
    <w:rsid w:val="003318C5"/>
    <w:rsid w:val="00331EDD"/>
    <w:rsid w:val="00332548"/>
    <w:rsid w:val="0033435E"/>
    <w:rsid w:val="003346BF"/>
    <w:rsid w:val="00342EA4"/>
    <w:rsid w:val="00344121"/>
    <w:rsid w:val="00344860"/>
    <w:rsid w:val="00345602"/>
    <w:rsid w:val="00346C94"/>
    <w:rsid w:val="00350210"/>
    <w:rsid w:val="003505F5"/>
    <w:rsid w:val="00352FDF"/>
    <w:rsid w:val="003539D7"/>
    <w:rsid w:val="00354346"/>
    <w:rsid w:val="003546AA"/>
    <w:rsid w:val="00356450"/>
    <w:rsid w:val="00357CAD"/>
    <w:rsid w:val="00360E17"/>
    <w:rsid w:val="0036168E"/>
    <w:rsid w:val="003619A6"/>
    <w:rsid w:val="00362E93"/>
    <w:rsid w:val="00362EAB"/>
    <w:rsid w:val="003638CC"/>
    <w:rsid w:val="00364296"/>
    <w:rsid w:val="0036792F"/>
    <w:rsid w:val="00367B9E"/>
    <w:rsid w:val="00370A7E"/>
    <w:rsid w:val="00370C0B"/>
    <w:rsid w:val="00371901"/>
    <w:rsid w:val="003719EF"/>
    <w:rsid w:val="0037301D"/>
    <w:rsid w:val="00373AFC"/>
    <w:rsid w:val="00373CFD"/>
    <w:rsid w:val="0037678A"/>
    <w:rsid w:val="00380FBD"/>
    <w:rsid w:val="00381162"/>
    <w:rsid w:val="0038122B"/>
    <w:rsid w:val="00386C81"/>
    <w:rsid w:val="003900E3"/>
    <w:rsid w:val="00392691"/>
    <w:rsid w:val="00392A36"/>
    <w:rsid w:val="0039362B"/>
    <w:rsid w:val="00394B22"/>
    <w:rsid w:val="00395D6C"/>
    <w:rsid w:val="003A292F"/>
    <w:rsid w:val="003A2989"/>
    <w:rsid w:val="003A2A74"/>
    <w:rsid w:val="003A3403"/>
    <w:rsid w:val="003A372C"/>
    <w:rsid w:val="003A4872"/>
    <w:rsid w:val="003A4AB1"/>
    <w:rsid w:val="003A58BF"/>
    <w:rsid w:val="003A7C90"/>
    <w:rsid w:val="003B2FBC"/>
    <w:rsid w:val="003B2FCC"/>
    <w:rsid w:val="003B3076"/>
    <w:rsid w:val="003B4BB5"/>
    <w:rsid w:val="003B546C"/>
    <w:rsid w:val="003B65FF"/>
    <w:rsid w:val="003C03F3"/>
    <w:rsid w:val="003C0743"/>
    <w:rsid w:val="003C0B6B"/>
    <w:rsid w:val="003C2E06"/>
    <w:rsid w:val="003C5EA8"/>
    <w:rsid w:val="003C6F4E"/>
    <w:rsid w:val="003D1DEA"/>
    <w:rsid w:val="003D3D95"/>
    <w:rsid w:val="003D5470"/>
    <w:rsid w:val="003D6BA8"/>
    <w:rsid w:val="003E0221"/>
    <w:rsid w:val="003E0DBA"/>
    <w:rsid w:val="003E128C"/>
    <w:rsid w:val="003E150D"/>
    <w:rsid w:val="003E54CA"/>
    <w:rsid w:val="003E584F"/>
    <w:rsid w:val="003E7FF5"/>
    <w:rsid w:val="003F0050"/>
    <w:rsid w:val="003F0402"/>
    <w:rsid w:val="003F07F0"/>
    <w:rsid w:val="003F27DF"/>
    <w:rsid w:val="003F3ADF"/>
    <w:rsid w:val="003F3B36"/>
    <w:rsid w:val="003F3D44"/>
    <w:rsid w:val="003F4897"/>
    <w:rsid w:val="003F4A59"/>
    <w:rsid w:val="003F6154"/>
    <w:rsid w:val="003F61E2"/>
    <w:rsid w:val="003F76D6"/>
    <w:rsid w:val="003F7C65"/>
    <w:rsid w:val="003F7E97"/>
    <w:rsid w:val="004004A6"/>
    <w:rsid w:val="0040098A"/>
    <w:rsid w:val="00400D97"/>
    <w:rsid w:val="00403BC7"/>
    <w:rsid w:val="0040407C"/>
    <w:rsid w:val="00404C4D"/>
    <w:rsid w:val="00405A64"/>
    <w:rsid w:val="0040741F"/>
    <w:rsid w:val="004100A0"/>
    <w:rsid w:val="004100B7"/>
    <w:rsid w:val="00410D4C"/>
    <w:rsid w:val="00412C83"/>
    <w:rsid w:val="00413DE4"/>
    <w:rsid w:val="00414DAF"/>
    <w:rsid w:val="00414E9B"/>
    <w:rsid w:val="00415A70"/>
    <w:rsid w:val="00416DB9"/>
    <w:rsid w:val="00417251"/>
    <w:rsid w:val="00420C33"/>
    <w:rsid w:val="00422294"/>
    <w:rsid w:val="0043136C"/>
    <w:rsid w:val="00431A2F"/>
    <w:rsid w:val="004326D7"/>
    <w:rsid w:val="00433A97"/>
    <w:rsid w:val="004409F0"/>
    <w:rsid w:val="0044288D"/>
    <w:rsid w:val="00445D18"/>
    <w:rsid w:val="00447146"/>
    <w:rsid w:val="00451457"/>
    <w:rsid w:val="004525AB"/>
    <w:rsid w:val="00456040"/>
    <w:rsid w:val="00457CA7"/>
    <w:rsid w:val="00460E7C"/>
    <w:rsid w:val="00461DEF"/>
    <w:rsid w:val="004624B3"/>
    <w:rsid w:val="00462862"/>
    <w:rsid w:val="00465BF0"/>
    <w:rsid w:val="0047101A"/>
    <w:rsid w:val="00474C11"/>
    <w:rsid w:val="00481AA6"/>
    <w:rsid w:val="004833D2"/>
    <w:rsid w:val="0048507C"/>
    <w:rsid w:val="0048617D"/>
    <w:rsid w:val="004908EC"/>
    <w:rsid w:val="0049198B"/>
    <w:rsid w:val="00493AD6"/>
    <w:rsid w:val="00493E25"/>
    <w:rsid w:val="00493EF0"/>
    <w:rsid w:val="00495998"/>
    <w:rsid w:val="004965B4"/>
    <w:rsid w:val="00497F57"/>
    <w:rsid w:val="004A14F9"/>
    <w:rsid w:val="004A1ADC"/>
    <w:rsid w:val="004B0C21"/>
    <w:rsid w:val="004B141F"/>
    <w:rsid w:val="004B1E05"/>
    <w:rsid w:val="004B2AA2"/>
    <w:rsid w:val="004B3D7C"/>
    <w:rsid w:val="004B7626"/>
    <w:rsid w:val="004C273D"/>
    <w:rsid w:val="004C5601"/>
    <w:rsid w:val="004D0DF8"/>
    <w:rsid w:val="004D0F2E"/>
    <w:rsid w:val="004D24CE"/>
    <w:rsid w:val="004D3EF3"/>
    <w:rsid w:val="004D4403"/>
    <w:rsid w:val="004D5EE0"/>
    <w:rsid w:val="004E0EB1"/>
    <w:rsid w:val="004E1014"/>
    <w:rsid w:val="004E1819"/>
    <w:rsid w:val="004E39CC"/>
    <w:rsid w:val="004E3A40"/>
    <w:rsid w:val="004E4B4D"/>
    <w:rsid w:val="004E6620"/>
    <w:rsid w:val="004E7D49"/>
    <w:rsid w:val="004F21A4"/>
    <w:rsid w:val="004F2974"/>
    <w:rsid w:val="004F5362"/>
    <w:rsid w:val="004F5478"/>
    <w:rsid w:val="004F6473"/>
    <w:rsid w:val="0050024E"/>
    <w:rsid w:val="00500269"/>
    <w:rsid w:val="005007E2"/>
    <w:rsid w:val="00501F06"/>
    <w:rsid w:val="00503452"/>
    <w:rsid w:val="0050629C"/>
    <w:rsid w:val="005116FD"/>
    <w:rsid w:val="00520DE9"/>
    <w:rsid w:val="005224F0"/>
    <w:rsid w:val="00522C6C"/>
    <w:rsid w:val="00523355"/>
    <w:rsid w:val="00523AA6"/>
    <w:rsid w:val="005242ED"/>
    <w:rsid w:val="00524753"/>
    <w:rsid w:val="0052505A"/>
    <w:rsid w:val="00527F5B"/>
    <w:rsid w:val="00531D5B"/>
    <w:rsid w:val="005331CF"/>
    <w:rsid w:val="0053371C"/>
    <w:rsid w:val="00535E73"/>
    <w:rsid w:val="00537B62"/>
    <w:rsid w:val="00540445"/>
    <w:rsid w:val="00540C51"/>
    <w:rsid w:val="005463E4"/>
    <w:rsid w:val="0054712E"/>
    <w:rsid w:val="00547B4F"/>
    <w:rsid w:val="00550D32"/>
    <w:rsid w:val="00551F71"/>
    <w:rsid w:val="00553397"/>
    <w:rsid w:val="00554532"/>
    <w:rsid w:val="005549AD"/>
    <w:rsid w:val="005550AE"/>
    <w:rsid w:val="005552D9"/>
    <w:rsid w:val="00555C62"/>
    <w:rsid w:val="005565AC"/>
    <w:rsid w:val="00556D6B"/>
    <w:rsid w:val="00557C71"/>
    <w:rsid w:val="00566CDD"/>
    <w:rsid w:val="005706CA"/>
    <w:rsid w:val="00570EA4"/>
    <w:rsid w:val="00571AF8"/>
    <w:rsid w:val="005777B9"/>
    <w:rsid w:val="00580136"/>
    <w:rsid w:val="005801BC"/>
    <w:rsid w:val="00580B3E"/>
    <w:rsid w:val="00581459"/>
    <w:rsid w:val="00584BA1"/>
    <w:rsid w:val="00584DA1"/>
    <w:rsid w:val="00585497"/>
    <w:rsid w:val="00586CA1"/>
    <w:rsid w:val="005870C8"/>
    <w:rsid w:val="0059030C"/>
    <w:rsid w:val="005904B7"/>
    <w:rsid w:val="00590CD5"/>
    <w:rsid w:val="0059222D"/>
    <w:rsid w:val="005956B0"/>
    <w:rsid w:val="00596843"/>
    <w:rsid w:val="00596D32"/>
    <w:rsid w:val="00597C21"/>
    <w:rsid w:val="00597CCD"/>
    <w:rsid w:val="005A1320"/>
    <w:rsid w:val="005A1C90"/>
    <w:rsid w:val="005A6AAF"/>
    <w:rsid w:val="005A72D8"/>
    <w:rsid w:val="005B1A92"/>
    <w:rsid w:val="005C0744"/>
    <w:rsid w:val="005C3D0D"/>
    <w:rsid w:val="005C3F4D"/>
    <w:rsid w:val="005C74BD"/>
    <w:rsid w:val="005D59A4"/>
    <w:rsid w:val="005D7223"/>
    <w:rsid w:val="005E0732"/>
    <w:rsid w:val="005E0C92"/>
    <w:rsid w:val="005E105C"/>
    <w:rsid w:val="005F1E32"/>
    <w:rsid w:val="005F2A66"/>
    <w:rsid w:val="005F2D9D"/>
    <w:rsid w:val="005F3474"/>
    <w:rsid w:val="005F35E4"/>
    <w:rsid w:val="005F788B"/>
    <w:rsid w:val="006043C1"/>
    <w:rsid w:val="00605620"/>
    <w:rsid w:val="00606C39"/>
    <w:rsid w:val="00606CF8"/>
    <w:rsid w:val="00611B4C"/>
    <w:rsid w:val="006125DF"/>
    <w:rsid w:val="00612F3A"/>
    <w:rsid w:val="00613B08"/>
    <w:rsid w:val="00615CA9"/>
    <w:rsid w:val="0061686A"/>
    <w:rsid w:val="006170F1"/>
    <w:rsid w:val="006204BA"/>
    <w:rsid w:val="006240FE"/>
    <w:rsid w:val="00624D1A"/>
    <w:rsid w:val="00630AA0"/>
    <w:rsid w:val="0063222D"/>
    <w:rsid w:val="00632570"/>
    <w:rsid w:val="00632817"/>
    <w:rsid w:val="0063550F"/>
    <w:rsid w:val="00636B7E"/>
    <w:rsid w:val="00641E18"/>
    <w:rsid w:val="00642525"/>
    <w:rsid w:val="00642F51"/>
    <w:rsid w:val="00645625"/>
    <w:rsid w:val="00647892"/>
    <w:rsid w:val="006501FD"/>
    <w:rsid w:val="0065064E"/>
    <w:rsid w:val="00651CA5"/>
    <w:rsid w:val="00652542"/>
    <w:rsid w:val="00652600"/>
    <w:rsid w:val="00652C81"/>
    <w:rsid w:val="0065422D"/>
    <w:rsid w:val="00661874"/>
    <w:rsid w:val="00662635"/>
    <w:rsid w:val="006634C7"/>
    <w:rsid w:val="00664A6A"/>
    <w:rsid w:val="006708BA"/>
    <w:rsid w:val="00671D3A"/>
    <w:rsid w:val="00671D3E"/>
    <w:rsid w:val="00672532"/>
    <w:rsid w:val="006749F4"/>
    <w:rsid w:val="00676E05"/>
    <w:rsid w:val="006800AA"/>
    <w:rsid w:val="00680C95"/>
    <w:rsid w:val="00683E22"/>
    <w:rsid w:val="00684C51"/>
    <w:rsid w:val="006857C3"/>
    <w:rsid w:val="006867DF"/>
    <w:rsid w:val="00691439"/>
    <w:rsid w:val="006915E5"/>
    <w:rsid w:val="00693012"/>
    <w:rsid w:val="006934B5"/>
    <w:rsid w:val="006946BB"/>
    <w:rsid w:val="006972AD"/>
    <w:rsid w:val="00697B6A"/>
    <w:rsid w:val="00697BAD"/>
    <w:rsid w:val="006A01FF"/>
    <w:rsid w:val="006A209E"/>
    <w:rsid w:val="006A2693"/>
    <w:rsid w:val="006A5E20"/>
    <w:rsid w:val="006A6B7D"/>
    <w:rsid w:val="006A7DF1"/>
    <w:rsid w:val="006B17F7"/>
    <w:rsid w:val="006B1B3C"/>
    <w:rsid w:val="006B327C"/>
    <w:rsid w:val="006B32BF"/>
    <w:rsid w:val="006B444E"/>
    <w:rsid w:val="006B742E"/>
    <w:rsid w:val="006C17F8"/>
    <w:rsid w:val="006C3121"/>
    <w:rsid w:val="006C34E7"/>
    <w:rsid w:val="006C5854"/>
    <w:rsid w:val="006C71F2"/>
    <w:rsid w:val="006D1331"/>
    <w:rsid w:val="006D1B5F"/>
    <w:rsid w:val="006D24A5"/>
    <w:rsid w:val="006D2AA1"/>
    <w:rsid w:val="006D39D0"/>
    <w:rsid w:val="006D4403"/>
    <w:rsid w:val="006D5F8C"/>
    <w:rsid w:val="006E093A"/>
    <w:rsid w:val="006E1DA1"/>
    <w:rsid w:val="006E22F6"/>
    <w:rsid w:val="006E2BE6"/>
    <w:rsid w:val="006E2EAB"/>
    <w:rsid w:val="006F08C6"/>
    <w:rsid w:val="006F1DB1"/>
    <w:rsid w:val="006F2783"/>
    <w:rsid w:val="006F2CE6"/>
    <w:rsid w:val="006F4AAE"/>
    <w:rsid w:val="006F5AB8"/>
    <w:rsid w:val="006F5D6A"/>
    <w:rsid w:val="006F6E1C"/>
    <w:rsid w:val="006F715E"/>
    <w:rsid w:val="007005CA"/>
    <w:rsid w:val="00700761"/>
    <w:rsid w:val="0070078B"/>
    <w:rsid w:val="00702852"/>
    <w:rsid w:val="00702A98"/>
    <w:rsid w:val="00702FAD"/>
    <w:rsid w:val="007044A1"/>
    <w:rsid w:val="00706136"/>
    <w:rsid w:val="00707786"/>
    <w:rsid w:val="00710858"/>
    <w:rsid w:val="007134A0"/>
    <w:rsid w:val="00716232"/>
    <w:rsid w:val="007162F2"/>
    <w:rsid w:val="00716C3D"/>
    <w:rsid w:val="00722AE8"/>
    <w:rsid w:val="0072305D"/>
    <w:rsid w:val="0072360C"/>
    <w:rsid w:val="00723937"/>
    <w:rsid w:val="007303CA"/>
    <w:rsid w:val="007337C7"/>
    <w:rsid w:val="00733D3D"/>
    <w:rsid w:val="00737BCD"/>
    <w:rsid w:val="00743B65"/>
    <w:rsid w:val="00744E34"/>
    <w:rsid w:val="00747593"/>
    <w:rsid w:val="00751696"/>
    <w:rsid w:val="00752F8B"/>
    <w:rsid w:val="00753911"/>
    <w:rsid w:val="00753AD4"/>
    <w:rsid w:val="007545CE"/>
    <w:rsid w:val="0075504F"/>
    <w:rsid w:val="007608A0"/>
    <w:rsid w:val="007627B2"/>
    <w:rsid w:val="00770B79"/>
    <w:rsid w:val="007725D9"/>
    <w:rsid w:val="00772828"/>
    <w:rsid w:val="007740D4"/>
    <w:rsid w:val="00775D17"/>
    <w:rsid w:val="00777B97"/>
    <w:rsid w:val="007802AE"/>
    <w:rsid w:val="00780CB1"/>
    <w:rsid w:val="007823C8"/>
    <w:rsid w:val="00784DC2"/>
    <w:rsid w:val="00785067"/>
    <w:rsid w:val="007862F9"/>
    <w:rsid w:val="00786927"/>
    <w:rsid w:val="00793EB9"/>
    <w:rsid w:val="00797A7D"/>
    <w:rsid w:val="007A198A"/>
    <w:rsid w:val="007A2A9E"/>
    <w:rsid w:val="007A577B"/>
    <w:rsid w:val="007A5974"/>
    <w:rsid w:val="007A59B9"/>
    <w:rsid w:val="007A62DB"/>
    <w:rsid w:val="007A6E3D"/>
    <w:rsid w:val="007A7E59"/>
    <w:rsid w:val="007A7F89"/>
    <w:rsid w:val="007B007C"/>
    <w:rsid w:val="007B1F97"/>
    <w:rsid w:val="007B69F4"/>
    <w:rsid w:val="007B6FBF"/>
    <w:rsid w:val="007B799B"/>
    <w:rsid w:val="007B7C4C"/>
    <w:rsid w:val="007C02B1"/>
    <w:rsid w:val="007C0CE2"/>
    <w:rsid w:val="007C261C"/>
    <w:rsid w:val="007C3C54"/>
    <w:rsid w:val="007C5D48"/>
    <w:rsid w:val="007C74BE"/>
    <w:rsid w:val="007D1F9C"/>
    <w:rsid w:val="007D4837"/>
    <w:rsid w:val="007D77E3"/>
    <w:rsid w:val="007E1D0E"/>
    <w:rsid w:val="007E2A5A"/>
    <w:rsid w:val="007E5775"/>
    <w:rsid w:val="007F3469"/>
    <w:rsid w:val="007F61A7"/>
    <w:rsid w:val="00800509"/>
    <w:rsid w:val="00802140"/>
    <w:rsid w:val="008021AC"/>
    <w:rsid w:val="00804635"/>
    <w:rsid w:val="008061B1"/>
    <w:rsid w:val="008069B6"/>
    <w:rsid w:val="00806EB4"/>
    <w:rsid w:val="0081143F"/>
    <w:rsid w:val="00811612"/>
    <w:rsid w:val="0081196B"/>
    <w:rsid w:val="00812E89"/>
    <w:rsid w:val="00814C40"/>
    <w:rsid w:val="00815247"/>
    <w:rsid w:val="00815DA7"/>
    <w:rsid w:val="00821CF8"/>
    <w:rsid w:val="00821E29"/>
    <w:rsid w:val="00822332"/>
    <w:rsid w:val="00823195"/>
    <w:rsid w:val="008238AA"/>
    <w:rsid w:val="00827788"/>
    <w:rsid w:val="0083025F"/>
    <w:rsid w:val="00832537"/>
    <w:rsid w:val="00835B0A"/>
    <w:rsid w:val="00836155"/>
    <w:rsid w:val="0083673E"/>
    <w:rsid w:val="00836F29"/>
    <w:rsid w:val="008403D9"/>
    <w:rsid w:val="00842061"/>
    <w:rsid w:val="008444D6"/>
    <w:rsid w:val="00844B54"/>
    <w:rsid w:val="00845D8F"/>
    <w:rsid w:val="00847C2B"/>
    <w:rsid w:val="00847E3F"/>
    <w:rsid w:val="008500A1"/>
    <w:rsid w:val="008516BC"/>
    <w:rsid w:val="00852145"/>
    <w:rsid w:val="00853E68"/>
    <w:rsid w:val="00856368"/>
    <w:rsid w:val="008629B0"/>
    <w:rsid w:val="0086311A"/>
    <w:rsid w:val="008648F7"/>
    <w:rsid w:val="008652D5"/>
    <w:rsid w:val="00865898"/>
    <w:rsid w:val="00866016"/>
    <w:rsid w:val="00867CD3"/>
    <w:rsid w:val="008711C0"/>
    <w:rsid w:val="00873BA3"/>
    <w:rsid w:val="0087519C"/>
    <w:rsid w:val="00880682"/>
    <w:rsid w:val="00880CCA"/>
    <w:rsid w:val="008845F8"/>
    <w:rsid w:val="00885EB1"/>
    <w:rsid w:val="00886476"/>
    <w:rsid w:val="00886FAA"/>
    <w:rsid w:val="008904F9"/>
    <w:rsid w:val="00890BE1"/>
    <w:rsid w:val="00891F38"/>
    <w:rsid w:val="00894CF8"/>
    <w:rsid w:val="008957D3"/>
    <w:rsid w:val="00896432"/>
    <w:rsid w:val="00897DC3"/>
    <w:rsid w:val="008A058C"/>
    <w:rsid w:val="008A2897"/>
    <w:rsid w:val="008A296B"/>
    <w:rsid w:val="008A5EF8"/>
    <w:rsid w:val="008A77CB"/>
    <w:rsid w:val="008B142A"/>
    <w:rsid w:val="008B51EC"/>
    <w:rsid w:val="008B5518"/>
    <w:rsid w:val="008B5690"/>
    <w:rsid w:val="008B6972"/>
    <w:rsid w:val="008B6F11"/>
    <w:rsid w:val="008B718D"/>
    <w:rsid w:val="008B7AC8"/>
    <w:rsid w:val="008C0D4A"/>
    <w:rsid w:val="008C3079"/>
    <w:rsid w:val="008C3AF2"/>
    <w:rsid w:val="008C4CBE"/>
    <w:rsid w:val="008C5CC6"/>
    <w:rsid w:val="008C6A19"/>
    <w:rsid w:val="008D1098"/>
    <w:rsid w:val="008D21B7"/>
    <w:rsid w:val="008D26B8"/>
    <w:rsid w:val="008D2A32"/>
    <w:rsid w:val="008D31A2"/>
    <w:rsid w:val="008D511F"/>
    <w:rsid w:val="008E1B45"/>
    <w:rsid w:val="008E2829"/>
    <w:rsid w:val="008E3435"/>
    <w:rsid w:val="008E5110"/>
    <w:rsid w:val="008E6ABE"/>
    <w:rsid w:val="008E6E4D"/>
    <w:rsid w:val="008F3276"/>
    <w:rsid w:val="008F4325"/>
    <w:rsid w:val="008F4735"/>
    <w:rsid w:val="008F478A"/>
    <w:rsid w:val="008F6A95"/>
    <w:rsid w:val="008F7457"/>
    <w:rsid w:val="009049F7"/>
    <w:rsid w:val="00912081"/>
    <w:rsid w:val="00912A93"/>
    <w:rsid w:val="00913D6F"/>
    <w:rsid w:val="00914BC1"/>
    <w:rsid w:val="00915497"/>
    <w:rsid w:val="0091560D"/>
    <w:rsid w:val="00915E91"/>
    <w:rsid w:val="00916CA2"/>
    <w:rsid w:val="00917392"/>
    <w:rsid w:val="0091755E"/>
    <w:rsid w:val="00917A6B"/>
    <w:rsid w:val="009216D3"/>
    <w:rsid w:val="009226A2"/>
    <w:rsid w:val="00922B6D"/>
    <w:rsid w:val="00924E12"/>
    <w:rsid w:val="00924F01"/>
    <w:rsid w:val="00925564"/>
    <w:rsid w:val="0094146B"/>
    <w:rsid w:val="00943D83"/>
    <w:rsid w:val="00947275"/>
    <w:rsid w:val="00950C04"/>
    <w:rsid w:val="0095148B"/>
    <w:rsid w:val="0095164E"/>
    <w:rsid w:val="0095307A"/>
    <w:rsid w:val="00954025"/>
    <w:rsid w:val="00954D4F"/>
    <w:rsid w:val="00961BD2"/>
    <w:rsid w:val="009622C7"/>
    <w:rsid w:val="0096261D"/>
    <w:rsid w:val="009644C0"/>
    <w:rsid w:val="00964D31"/>
    <w:rsid w:val="00965ED9"/>
    <w:rsid w:val="009667F1"/>
    <w:rsid w:val="00966E8A"/>
    <w:rsid w:val="0097255F"/>
    <w:rsid w:val="00973282"/>
    <w:rsid w:val="00973EA7"/>
    <w:rsid w:val="009765BD"/>
    <w:rsid w:val="00976CE0"/>
    <w:rsid w:val="00977388"/>
    <w:rsid w:val="00977493"/>
    <w:rsid w:val="00980103"/>
    <w:rsid w:val="00981E18"/>
    <w:rsid w:val="009842E9"/>
    <w:rsid w:val="00985599"/>
    <w:rsid w:val="009874DF"/>
    <w:rsid w:val="00991487"/>
    <w:rsid w:val="0099415E"/>
    <w:rsid w:val="00995B71"/>
    <w:rsid w:val="0099629A"/>
    <w:rsid w:val="009A137D"/>
    <w:rsid w:val="009A2381"/>
    <w:rsid w:val="009A3589"/>
    <w:rsid w:val="009A364A"/>
    <w:rsid w:val="009A38E7"/>
    <w:rsid w:val="009A4311"/>
    <w:rsid w:val="009A4FF0"/>
    <w:rsid w:val="009A5BD4"/>
    <w:rsid w:val="009B01FB"/>
    <w:rsid w:val="009B0A14"/>
    <w:rsid w:val="009B12EB"/>
    <w:rsid w:val="009B1A0B"/>
    <w:rsid w:val="009B2245"/>
    <w:rsid w:val="009B28D6"/>
    <w:rsid w:val="009B7417"/>
    <w:rsid w:val="009C0DB7"/>
    <w:rsid w:val="009C1FB9"/>
    <w:rsid w:val="009C2C1F"/>
    <w:rsid w:val="009C38C3"/>
    <w:rsid w:val="009C4314"/>
    <w:rsid w:val="009C4852"/>
    <w:rsid w:val="009D0674"/>
    <w:rsid w:val="009D240B"/>
    <w:rsid w:val="009D2418"/>
    <w:rsid w:val="009D31B1"/>
    <w:rsid w:val="009D5DDD"/>
    <w:rsid w:val="009E2D98"/>
    <w:rsid w:val="009E3356"/>
    <w:rsid w:val="009E3C05"/>
    <w:rsid w:val="009E501E"/>
    <w:rsid w:val="009E625E"/>
    <w:rsid w:val="009E6673"/>
    <w:rsid w:val="009F02B0"/>
    <w:rsid w:val="009F060F"/>
    <w:rsid w:val="009F2C28"/>
    <w:rsid w:val="009F6740"/>
    <w:rsid w:val="00A016A1"/>
    <w:rsid w:val="00A033D1"/>
    <w:rsid w:val="00A039F9"/>
    <w:rsid w:val="00A03A10"/>
    <w:rsid w:val="00A03ECA"/>
    <w:rsid w:val="00A0494E"/>
    <w:rsid w:val="00A0661E"/>
    <w:rsid w:val="00A06A58"/>
    <w:rsid w:val="00A1029E"/>
    <w:rsid w:val="00A15450"/>
    <w:rsid w:val="00A16F14"/>
    <w:rsid w:val="00A17017"/>
    <w:rsid w:val="00A207C9"/>
    <w:rsid w:val="00A2632D"/>
    <w:rsid w:val="00A2688A"/>
    <w:rsid w:val="00A26FA9"/>
    <w:rsid w:val="00A35997"/>
    <w:rsid w:val="00A37EF4"/>
    <w:rsid w:val="00A42023"/>
    <w:rsid w:val="00A42BCF"/>
    <w:rsid w:val="00A43DDB"/>
    <w:rsid w:val="00A43E47"/>
    <w:rsid w:val="00A45A4A"/>
    <w:rsid w:val="00A50CAF"/>
    <w:rsid w:val="00A515D2"/>
    <w:rsid w:val="00A52ECE"/>
    <w:rsid w:val="00A53CA7"/>
    <w:rsid w:val="00A569CA"/>
    <w:rsid w:val="00A57D61"/>
    <w:rsid w:val="00A57DEC"/>
    <w:rsid w:val="00A611C5"/>
    <w:rsid w:val="00A622A3"/>
    <w:rsid w:val="00A627CF"/>
    <w:rsid w:val="00A63205"/>
    <w:rsid w:val="00A63537"/>
    <w:rsid w:val="00A64883"/>
    <w:rsid w:val="00A64BAB"/>
    <w:rsid w:val="00A64E54"/>
    <w:rsid w:val="00A65952"/>
    <w:rsid w:val="00A66724"/>
    <w:rsid w:val="00A71F5F"/>
    <w:rsid w:val="00A72A00"/>
    <w:rsid w:val="00A730C3"/>
    <w:rsid w:val="00A7493B"/>
    <w:rsid w:val="00A74F52"/>
    <w:rsid w:val="00A75EB3"/>
    <w:rsid w:val="00A82521"/>
    <w:rsid w:val="00A86B40"/>
    <w:rsid w:val="00A902B4"/>
    <w:rsid w:val="00A91721"/>
    <w:rsid w:val="00A91E0E"/>
    <w:rsid w:val="00A9289B"/>
    <w:rsid w:val="00A945A9"/>
    <w:rsid w:val="00A96132"/>
    <w:rsid w:val="00A9700B"/>
    <w:rsid w:val="00AA1A6C"/>
    <w:rsid w:val="00AA26E6"/>
    <w:rsid w:val="00AA33A9"/>
    <w:rsid w:val="00AA4AA1"/>
    <w:rsid w:val="00AA5A93"/>
    <w:rsid w:val="00AA7562"/>
    <w:rsid w:val="00AA75B1"/>
    <w:rsid w:val="00AA768C"/>
    <w:rsid w:val="00AB0629"/>
    <w:rsid w:val="00AB2128"/>
    <w:rsid w:val="00AB24EF"/>
    <w:rsid w:val="00AB3068"/>
    <w:rsid w:val="00AB3F07"/>
    <w:rsid w:val="00AB52E4"/>
    <w:rsid w:val="00AB5465"/>
    <w:rsid w:val="00AB60AA"/>
    <w:rsid w:val="00AB6F2F"/>
    <w:rsid w:val="00AC23B2"/>
    <w:rsid w:val="00AC46C6"/>
    <w:rsid w:val="00AC4F02"/>
    <w:rsid w:val="00AC65EA"/>
    <w:rsid w:val="00AC694B"/>
    <w:rsid w:val="00AC69C1"/>
    <w:rsid w:val="00AD194D"/>
    <w:rsid w:val="00AD27D3"/>
    <w:rsid w:val="00AD2880"/>
    <w:rsid w:val="00AD52C2"/>
    <w:rsid w:val="00AE130E"/>
    <w:rsid w:val="00AE17FC"/>
    <w:rsid w:val="00AE3319"/>
    <w:rsid w:val="00AE7225"/>
    <w:rsid w:val="00AE75B0"/>
    <w:rsid w:val="00AF12CD"/>
    <w:rsid w:val="00AF175A"/>
    <w:rsid w:val="00AF1A0A"/>
    <w:rsid w:val="00AF1E23"/>
    <w:rsid w:val="00AF26A0"/>
    <w:rsid w:val="00AF30AC"/>
    <w:rsid w:val="00AF6124"/>
    <w:rsid w:val="00AF6C67"/>
    <w:rsid w:val="00AF76B0"/>
    <w:rsid w:val="00B0137C"/>
    <w:rsid w:val="00B018FB"/>
    <w:rsid w:val="00B02353"/>
    <w:rsid w:val="00B03255"/>
    <w:rsid w:val="00B05386"/>
    <w:rsid w:val="00B05597"/>
    <w:rsid w:val="00B05697"/>
    <w:rsid w:val="00B07E69"/>
    <w:rsid w:val="00B10431"/>
    <w:rsid w:val="00B1351B"/>
    <w:rsid w:val="00B1376D"/>
    <w:rsid w:val="00B16467"/>
    <w:rsid w:val="00B16731"/>
    <w:rsid w:val="00B1789C"/>
    <w:rsid w:val="00B17EC9"/>
    <w:rsid w:val="00B21053"/>
    <w:rsid w:val="00B215E0"/>
    <w:rsid w:val="00B22F30"/>
    <w:rsid w:val="00B233D6"/>
    <w:rsid w:val="00B23CA9"/>
    <w:rsid w:val="00B2419E"/>
    <w:rsid w:val="00B248FF"/>
    <w:rsid w:val="00B24A1D"/>
    <w:rsid w:val="00B275FD"/>
    <w:rsid w:val="00B3050E"/>
    <w:rsid w:val="00B31606"/>
    <w:rsid w:val="00B32EE6"/>
    <w:rsid w:val="00B34661"/>
    <w:rsid w:val="00B4086E"/>
    <w:rsid w:val="00B4376C"/>
    <w:rsid w:val="00B44726"/>
    <w:rsid w:val="00B44BB7"/>
    <w:rsid w:val="00B45575"/>
    <w:rsid w:val="00B45CEC"/>
    <w:rsid w:val="00B514D5"/>
    <w:rsid w:val="00B522F2"/>
    <w:rsid w:val="00B54AA5"/>
    <w:rsid w:val="00B54BED"/>
    <w:rsid w:val="00B54F75"/>
    <w:rsid w:val="00B56D74"/>
    <w:rsid w:val="00B5751D"/>
    <w:rsid w:val="00B60205"/>
    <w:rsid w:val="00B61285"/>
    <w:rsid w:val="00B61617"/>
    <w:rsid w:val="00B616C7"/>
    <w:rsid w:val="00B631F3"/>
    <w:rsid w:val="00B63347"/>
    <w:rsid w:val="00B637DC"/>
    <w:rsid w:val="00B6394E"/>
    <w:rsid w:val="00B6496A"/>
    <w:rsid w:val="00B64AFA"/>
    <w:rsid w:val="00B650B4"/>
    <w:rsid w:val="00B67524"/>
    <w:rsid w:val="00B67E09"/>
    <w:rsid w:val="00B70DF2"/>
    <w:rsid w:val="00B72369"/>
    <w:rsid w:val="00B77DA7"/>
    <w:rsid w:val="00B77DE9"/>
    <w:rsid w:val="00B806DF"/>
    <w:rsid w:val="00B81583"/>
    <w:rsid w:val="00B81E50"/>
    <w:rsid w:val="00B82C78"/>
    <w:rsid w:val="00B83D4A"/>
    <w:rsid w:val="00B8659D"/>
    <w:rsid w:val="00B87BDB"/>
    <w:rsid w:val="00B87E79"/>
    <w:rsid w:val="00B95EE5"/>
    <w:rsid w:val="00BA0AFE"/>
    <w:rsid w:val="00BA0BA8"/>
    <w:rsid w:val="00BA1B40"/>
    <w:rsid w:val="00BA3B05"/>
    <w:rsid w:val="00BA738D"/>
    <w:rsid w:val="00BB3AAF"/>
    <w:rsid w:val="00BB53E8"/>
    <w:rsid w:val="00BC0CF0"/>
    <w:rsid w:val="00BC14F7"/>
    <w:rsid w:val="00BC6AFB"/>
    <w:rsid w:val="00BC7D37"/>
    <w:rsid w:val="00BD0695"/>
    <w:rsid w:val="00BD2F75"/>
    <w:rsid w:val="00BD6A90"/>
    <w:rsid w:val="00BE000D"/>
    <w:rsid w:val="00BE016B"/>
    <w:rsid w:val="00BE08EB"/>
    <w:rsid w:val="00BE16A1"/>
    <w:rsid w:val="00BE289C"/>
    <w:rsid w:val="00BE32B9"/>
    <w:rsid w:val="00BE4D04"/>
    <w:rsid w:val="00BE5EF9"/>
    <w:rsid w:val="00BE6EA7"/>
    <w:rsid w:val="00BF5D9F"/>
    <w:rsid w:val="00BF75C4"/>
    <w:rsid w:val="00C0199E"/>
    <w:rsid w:val="00C026E9"/>
    <w:rsid w:val="00C03D29"/>
    <w:rsid w:val="00C05278"/>
    <w:rsid w:val="00C05E26"/>
    <w:rsid w:val="00C074E2"/>
    <w:rsid w:val="00C07A47"/>
    <w:rsid w:val="00C07C15"/>
    <w:rsid w:val="00C11A2F"/>
    <w:rsid w:val="00C132E1"/>
    <w:rsid w:val="00C132F6"/>
    <w:rsid w:val="00C1453F"/>
    <w:rsid w:val="00C14603"/>
    <w:rsid w:val="00C14B50"/>
    <w:rsid w:val="00C15B0B"/>
    <w:rsid w:val="00C16C41"/>
    <w:rsid w:val="00C176AC"/>
    <w:rsid w:val="00C20A60"/>
    <w:rsid w:val="00C267F1"/>
    <w:rsid w:val="00C26D3E"/>
    <w:rsid w:val="00C276FC"/>
    <w:rsid w:val="00C327DF"/>
    <w:rsid w:val="00C32F40"/>
    <w:rsid w:val="00C408C3"/>
    <w:rsid w:val="00C41E86"/>
    <w:rsid w:val="00C4295B"/>
    <w:rsid w:val="00C42D11"/>
    <w:rsid w:val="00C436F1"/>
    <w:rsid w:val="00C4725B"/>
    <w:rsid w:val="00C53949"/>
    <w:rsid w:val="00C54C81"/>
    <w:rsid w:val="00C55776"/>
    <w:rsid w:val="00C56BAA"/>
    <w:rsid w:val="00C57648"/>
    <w:rsid w:val="00C61053"/>
    <w:rsid w:val="00C61709"/>
    <w:rsid w:val="00C618B0"/>
    <w:rsid w:val="00C61C9B"/>
    <w:rsid w:val="00C631F8"/>
    <w:rsid w:val="00C641DB"/>
    <w:rsid w:val="00C660EA"/>
    <w:rsid w:val="00C67B18"/>
    <w:rsid w:val="00C72262"/>
    <w:rsid w:val="00C7465F"/>
    <w:rsid w:val="00C74F06"/>
    <w:rsid w:val="00C75664"/>
    <w:rsid w:val="00C7756B"/>
    <w:rsid w:val="00C77700"/>
    <w:rsid w:val="00C82400"/>
    <w:rsid w:val="00C83BC4"/>
    <w:rsid w:val="00C843B6"/>
    <w:rsid w:val="00C85D9B"/>
    <w:rsid w:val="00C86D05"/>
    <w:rsid w:val="00C8760C"/>
    <w:rsid w:val="00C91367"/>
    <w:rsid w:val="00C917E3"/>
    <w:rsid w:val="00C91A97"/>
    <w:rsid w:val="00C91DF3"/>
    <w:rsid w:val="00C925AB"/>
    <w:rsid w:val="00C92F6D"/>
    <w:rsid w:val="00C972DB"/>
    <w:rsid w:val="00CA095A"/>
    <w:rsid w:val="00CA2D30"/>
    <w:rsid w:val="00CA42A1"/>
    <w:rsid w:val="00CA75B0"/>
    <w:rsid w:val="00CA7DE0"/>
    <w:rsid w:val="00CB0AF9"/>
    <w:rsid w:val="00CB1465"/>
    <w:rsid w:val="00CB53F8"/>
    <w:rsid w:val="00CB56C9"/>
    <w:rsid w:val="00CC047D"/>
    <w:rsid w:val="00CC0C7D"/>
    <w:rsid w:val="00CC18BB"/>
    <w:rsid w:val="00CC1C44"/>
    <w:rsid w:val="00CC33FF"/>
    <w:rsid w:val="00CC44A7"/>
    <w:rsid w:val="00CC52F6"/>
    <w:rsid w:val="00CC5726"/>
    <w:rsid w:val="00CC5CD7"/>
    <w:rsid w:val="00CD0988"/>
    <w:rsid w:val="00CD0BA3"/>
    <w:rsid w:val="00CD4CF0"/>
    <w:rsid w:val="00CD523F"/>
    <w:rsid w:val="00CD5927"/>
    <w:rsid w:val="00CD61DA"/>
    <w:rsid w:val="00CE00A5"/>
    <w:rsid w:val="00CE0B0B"/>
    <w:rsid w:val="00CE2447"/>
    <w:rsid w:val="00CE2C31"/>
    <w:rsid w:val="00CF18FC"/>
    <w:rsid w:val="00CF1B9C"/>
    <w:rsid w:val="00CF2032"/>
    <w:rsid w:val="00CF2204"/>
    <w:rsid w:val="00CF3624"/>
    <w:rsid w:val="00CF624F"/>
    <w:rsid w:val="00D00478"/>
    <w:rsid w:val="00D0433B"/>
    <w:rsid w:val="00D05EBA"/>
    <w:rsid w:val="00D06450"/>
    <w:rsid w:val="00D0712E"/>
    <w:rsid w:val="00D10C7D"/>
    <w:rsid w:val="00D111AF"/>
    <w:rsid w:val="00D13A10"/>
    <w:rsid w:val="00D15314"/>
    <w:rsid w:val="00D155E6"/>
    <w:rsid w:val="00D15DE0"/>
    <w:rsid w:val="00D15FEB"/>
    <w:rsid w:val="00D16957"/>
    <w:rsid w:val="00D171B5"/>
    <w:rsid w:val="00D20A8C"/>
    <w:rsid w:val="00D20ED8"/>
    <w:rsid w:val="00D21B12"/>
    <w:rsid w:val="00D2586E"/>
    <w:rsid w:val="00D30AD1"/>
    <w:rsid w:val="00D322EB"/>
    <w:rsid w:val="00D32F6B"/>
    <w:rsid w:val="00D36E12"/>
    <w:rsid w:val="00D43600"/>
    <w:rsid w:val="00D45CA6"/>
    <w:rsid w:val="00D460B3"/>
    <w:rsid w:val="00D463CD"/>
    <w:rsid w:val="00D46D69"/>
    <w:rsid w:val="00D47C2A"/>
    <w:rsid w:val="00D5126B"/>
    <w:rsid w:val="00D526A9"/>
    <w:rsid w:val="00D527C0"/>
    <w:rsid w:val="00D53897"/>
    <w:rsid w:val="00D54F26"/>
    <w:rsid w:val="00D54F65"/>
    <w:rsid w:val="00D55D6D"/>
    <w:rsid w:val="00D55F87"/>
    <w:rsid w:val="00D56EBE"/>
    <w:rsid w:val="00D60BFD"/>
    <w:rsid w:val="00D60DB8"/>
    <w:rsid w:val="00D610D8"/>
    <w:rsid w:val="00D611C4"/>
    <w:rsid w:val="00D616C9"/>
    <w:rsid w:val="00D61E1A"/>
    <w:rsid w:val="00D62456"/>
    <w:rsid w:val="00D6402A"/>
    <w:rsid w:val="00D64F2F"/>
    <w:rsid w:val="00D65388"/>
    <w:rsid w:val="00D67AFF"/>
    <w:rsid w:val="00D70D8D"/>
    <w:rsid w:val="00D71438"/>
    <w:rsid w:val="00D723A3"/>
    <w:rsid w:val="00D74113"/>
    <w:rsid w:val="00D74227"/>
    <w:rsid w:val="00D75561"/>
    <w:rsid w:val="00D75D36"/>
    <w:rsid w:val="00D80071"/>
    <w:rsid w:val="00D8078C"/>
    <w:rsid w:val="00D80A28"/>
    <w:rsid w:val="00D80D69"/>
    <w:rsid w:val="00D81151"/>
    <w:rsid w:val="00D83E45"/>
    <w:rsid w:val="00D902B6"/>
    <w:rsid w:val="00D90607"/>
    <w:rsid w:val="00D9131A"/>
    <w:rsid w:val="00D91799"/>
    <w:rsid w:val="00D9271E"/>
    <w:rsid w:val="00D9459A"/>
    <w:rsid w:val="00D9516E"/>
    <w:rsid w:val="00D9565E"/>
    <w:rsid w:val="00DA02AA"/>
    <w:rsid w:val="00DA124B"/>
    <w:rsid w:val="00DA1C3E"/>
    <w:rsid w:val="00DA2A70"/>
    <w:rsid w:val="00DB06B9"/>
    <w:rsid w:val="00DB0840"/>
    <w:rsid w:val="00DB16CB"/>
    <w:rsid w:val="00DB1E0C"/>
    <w:rsid w:val="00DB278D"/>
    <w:rsid w:val="00DB3F38"/>
    <w:rsid w:val="00DB5917"/>
    <w:rsid w:val="00DB5C32"/>
    <w:rsid w:val="00DC0F59"/>
    <w:rsid w:val="00DC4985"/>
    <w:rsid w:val="00DC61BC"/>
    <w:rsid w:val="00DC7C64"/>
    <w:rsid w:val="00DD03A0"/>
    <w:rsid w:val="00DD08B2"/>
    <w:rsid w:val="00DD2AAE"/>
    <w:rsid w:val="00DD330D"/>
    <w:rsid w:val="00DD3F44"/>
    <w:rsid w:val="00DD6408"/>
    <w:rsid w:val="00DE3B5E"/>
    <w:rsid w:val="00DE3E3A"/>
    <w:rsid w:val="00DE5528"/>
    <w:rsid w:val="00DE59A5"/>
    <w:rsid w:val="00DF02B4"/>
    <w:rsid w:val="00DF0F4A"/>
    <w:rsid w:val="00DF21D0"/>
    <w:rsid w:val="00DF3BA1"/>
    <w:rsid w:val="00DF5449"/>
    <w:rsid w:val="00DF6746"/>
    <w:rsid w:val="00DF6F46"/>
    <w:rsid w:val="00E02D95"/>
    <w:rsid w:val="00E04C0A"/>
    <w:rsid w:val="00E054BB"/>
    <w:rsid w:val="00E057DD"/>
    <w:rsid w:val="00E06BCD"/>
    <w:rsid w:val="00E06D28"/>
    <w:rsid w:val="00E1043F"/>
    <w:rsid w:val="00E14478"/>
    <w:rsid w:val="00E14F25"/>
    <w:rsid w:val="00E15944"/>
    <w:rsid w:val="00E175E7"/>
    <w:rsid w:val="00E21416"/>
    <w:rsid w:val="00E226A8"/>
    <w:rsid w:val="00E22AF7"/>
    <w:rsid w:val="00E24332"/>
    <w:rsid w:val="00E249DD"/>
    <w:rsid w:val="00E25C22"/>
    <w:rsid w:val="00E4017A"/>
    <w:rsid w:val="00E4051C"/>
    <w:rsid w:val="00E41824"/>
    <w:rsid w:val="00E4274F"/>
    <w:rsid w:val="00E43395"/>
    <w:rsid w:val="00E43C54"/>
    <w:rsid w:val="00E43D51"/>
    <w:rsid w:val="00E4503E"/>
    <w:rsid w:val="00E45377"/>
    <w:rsid w:val="00E46913"/>
    <w:rsid w:val="00E51235"/>
    <w:rsid w:val="00E5322D"/>
    <w:rsid w:val="00E5439E"/>
    <w:rsid w:val="00E54B7F"/>
    <w:rsid w:val="00E55678"/>
    <w:rsid w:val="00E562A7"/>
    <w:rsid w:val="00E565A3"/>
    <w:rsid w:val="00E57DA5"/>
    <w:rsid w:val="00E62010"/>
    <w:rsid w:val="00E62DE9"/>
    <w:rsid w:val="00E6559B"/>
    <w:rsid w:val="00E661E5"/>
    <w:rsid w:val="00E7021D"/>
    <w:rsid w:val="00E70E23"/>
    <w:rsid w:val="00E82661"/>
    <w:rsid w:val="00E828EC"/>
    <w:rsid w:val="00E8697A"/>
    <w:rsid w:val="00E918E4"/>
    <w:rsid w:val="00EA08F0"/>
    <w:rsid w:val="00EA2481"/>
    <w:rsid w:val="00EA3769"/>
    <w:rsid w:val="00EA43AF"/>
    <w:rsid w:val="00EA4562"/>
    <w:rsid w:val="00EA4CDA"/>
    <w:rsid w:val="00EA4F01"/>
    <w:rsid w:val="00EA6C2C"/>
    <w:rsid w:val="00EA7BFB"/>
    <w:rsid w:val="00EB1196"/>
    <w:rsid w:val="00EB24D4"/>
    <w:rsid w:val="00EB5201"/>
    <w:rsid w:val="00EB699C"/>
    <w:rsid w:val="00EB7C6A"/>
    <w:rsid w:val="00EC0CF1"/>
    <w:rsid w:val="00EC1A48"/>
    <w:rsid w:val="00EC1D55"/>
    <w:rsid w:val="00EC1D56"/>
    <w:rsid w:val="00EC2CC9"/>
    <w:rsid w:val="00EC523A"/>
    <w:rsid w:val="00EC6033"/>
    <w:rsid w:val="00ED1401"/>
    <w:rsid w:val="00ED4837"/>
    <w:rsid w:val="00EE00AA"/>
    <w:rsid w:val="00EE02CB"/>
    <w:rsid w:val="00EE0373"/>
    <w:rsid w:val="00EE2502"/>
    <w:rsid w:val="00EE2CAA"/>
    <w:rsid w:val="00EE3BFE"/>
    <w:rsid w:val="00EE75C5"/>
    <w:rsid w:val="00EE782D"/>
    <w:rsid w:val="00EF0509"/>
    <w:rsid w:val="00EF1474"/>
    <w:rsid w:val="00EF207D"/>
    <w:rsid w:val="00EF3440"/>
    <w:rsid w:val="00EF5215"/>
    <w:rsid w:val="00EF6771"/>
    <w:rsid w:val="00EF6F92"/>
    <w:rsid w:val="00EF78A3"/>
    <w:rsid w:val="00F01116"/>
    <w:rsid w:val="00F0757A"/>
    <w:rsid w:val="00F0759D"/>
    <w:rsid w:val="00F07A2D"/>
    <w:rsid w:val="00F14A10"/>
    <w:rsid w:val="00F14C0F"/>
    <w:rsid w:val="00F1740D"/>
    <w:rsid w:val="00F21109"/>
    <w:rsid w:val="00F232D0"/>
    <w:rsid w:val="00F25B68"/>
    <w:rsid w:val="00F2695D"/>
    <w:rsid w:val="00F31FC5"/>
    <w:rsid w:val="00F3297D"/>
    <w:rsid w:val="00F34B3E"/>
    <w:rsid w:val="00F35E1F"/>
    <w:rsid w:val="00F400E7"/>
    <w:rsid w:val="00F41F46"/>
    <w:rsid w:val="00F42BE4"/>
    <w:rsid w:val="00F432E6"/>
    <w:rsid w:val="00F43B31"/>
    <w:rsid w:val="00F43C89"/>
    <w:rsid w:val="00F446E7"/>
    <w:rsid w:val="00F453AD"/>
    <w:rsid w:val="00F465BC"/>
    <w:rsid w:val="00F517DC"/>
    <w:rsid w:val="00F54F5F"/>
    <w:rsid w:val="00F55223"/>
    <w:rsid w:val="00F56A85"/>
    <w:rsid w:val="00F57CBD"/>
    <w:rsid w:val="00F57DE4"/>
    <w:rsid w:val="00F60002"/>
    <w:rsid w:val="00F604D7"/>
    <w:rsid w:val="00F64B14"/>
    <w:rsid w:val="00F67C52"/>
    <w:rsid w:val="00F73180"/>
    <w:rsid w:val="00F7625D"/>
    <w:rsid w:val="00F77B7C"/>
    <w:rsid w:val="00F812F5"/>
    <w:rsid w:val="00F82B40"/>
    <w:rsid w:val="00F83EA2"/>
    <w:rsid w:val="00F860A6"/>
    <w:rsid w:val="00F9119C"/>
    <w:rsid w:val="00F91F8F"/>
    <w:rsid w:val="00F94F7B"/>
    <w:rsid w:val="00FA2423"/>
    <w:rsid w:val="00FA4F8C"/>
    <w:rsid w:val="00FA5956"/>
    <w:rsid w:val="00FA65C3"/>
    <w:rsid w:val="00FA7B50"/>
    <w:rsid w:val="00FB0C32"/>
    <w:rsid w:val="00FB0C3D"/>
    <w:rsid w:val="00FB160E"/>
    <w:rsid w:val="00FB1D79"/>
    <w:rsid w:val="00FB231C"/>
    <w:rsid w:val="00FB249F"/>
    <w:rsid w:val="00FB4A7F"/>
    <w:rsid w:val="00FB5263"/>
    <w:rsid w:val="00FB56EA"/>
    <w:rsid w:val="00FB6127"/>
    <w:rsid w:val="00FB6A5D"/>
    <w:rsid w:val="00FB6ABE"/>
    <w:rsid w:val="00FB7655"/>
    <w:rsid w:val="00FB77CE"/>
    <w:rsid w:val="00FB7925"/>
    <w:rsid w:val="00FC2642"/>
    <w:rsid w:val="00FC3C2B"/>
    <w:rsid w:val="00FC5B0F"/>
    <w:rsid w:val="00FD17D1"/>
    <w:rsid w:val="00FD1E0E"/>
    <w:rsid w:val="00FD2220"/>
    <w:rsid w:val="00FD22FD"/>
    <w:rsid w:val="00FD2971"/>
    <w:rsid w:val="00FD36A1"/>
    <w:rsid w:val="00FD6CE9"/>
    <w:rsid w:val="00FD749A"/>
    <w:rsid w:val="00FE36F3"/>
    <w:rsid w:val="00FE3E50"/>
    <w:rsid w:val="00FE461F"/>
    <w:rsid w:val="00FE5F93"/>
    <w:rsid w:val="00FE6CF6"/>
    <w:rsid w:val="00FE7A8B"/>
    <w:rsid w:val="00FF0B3D"/>
    <w:rsid w:val="00FF2B6D"/>
    <w:rsid w:val="00FF6BAE"/>
    <w:rsid w:val="010A69EA"/>
    <w:rsid w:val="012C037E"/>
    <w:rsid w:val="014C61AB"/>
    <w:rsid w:val="01E75A59"/>
    <w:rsid w:val="02C61145"/>
    <w:rsid w:val="02C91F7B"/>
    <w:rsid w:val="02D4215F"/>
    <w:rsid w:val="03503DED"/>
    <w:rsid w:val="04232E4A"/>
    <w:rsid w:val="048959DB"/>
    <w:rsid w:val="05192FB2"/>
    <w:rsid w:val="05B169FB"/>
    <w:rsid w:val="06576A65"/>
    <w:rsid w:val="066D4FE3"/>
    <w:rsid w:val="08533A97"/>
    <w:rsid w:val="09151AAD"/>
    <w:rsid w:val="09402BE3"/>
    <w:rsid w:val="0969374E"/>
    <w:rsid w:val="09993683"/>
    <w:rsid w:val="09AC13B8"/>
    <w:rsid w:val="0A686D12"/>
    <w:rsid w:val="0B4A64BC"/>
    <w:rsid w:val="0BFE05CE"/>
    <w:rsid w:val="0D4977E1"/>
    <w:rsid w:val="0EDF4424"/>
    <w:rsid w:val="0F0B7033"/>
    <w:rsid w:val="0F24138D"/>
    <w:rsid w:val="0FB83FEF"/>
    <w:rsid w:val="1071666B"/>
    <w:rsid w:val="109F34B4"/>
    <w:rsid w:val="10AA562B"/>
    <w:rsid w:val="10CD6B48"/>
    <w:rsid w:val="110E5BBA"/>
    <w:rsid w:val="118C0FA8"/>
    <w:rsid w:val="12254743"/>
    <w:rsid w:val="1277740F"/>
    <w:rsid w:val="128D5AB1"/>
    <w:rsid w:val="12EF67C8"/>
    <w:rsid w:val="14EA556C"/>
    <w:rsid w:val="15315E88"/>
    <w:rsid w:val="16CB109C"/>
    <w:rsid w:val="18053D9B"/>
    <w:rsid w:val="182F276E"/>
    <w:rsid w:val="183D7FE3"/>
    <w:rsid w:val="19644E80"/>
    <w:rsid w:val="1ACC1093"/>
    <w:rsid w:val="1B357F4B"/>
    <w:rsid w:val="1BD152FF"/>
    <w:rsid w:val="1C035FC1"/>
    <w:rsid w:val="1C737027"/>
    <w:rsid w:val="2065185D"/>
    <w:rsid w:val="20AF4897"/>
    <w:rsid w:val="213C05C8"/>
    <w:rsid w:val="216F1D0F"/>
    <w:rsid w:val="218A4D7C"/>
    <w:rsid w:val="226049FB"/>
    <w:rsid w:val="22EE3781"/>
    <w:rsid w:val="22FB55D8"/>
    <w:rsid w:val="236E2BD7"/>
    <w:rsid w:val="23826FC0"/>
    <w:rsid w:val="239850F2"/>
    <w:rsid w:val="23CA5620"/>
    <w:rsid w:val="24450CC4"/>
    <w:rsid w:val="246F6FD6"/>
    <w:rsid w:val="25564CC6"/>
    <w:rsid w:val="255B5506"/>
    <w:rsid w:val="27141940"/>
    <w:rsid w:val="27C32F67"/>
    <w:rsid w:val="27F5348B"/>
    <w:rsid w:val="28295966"/>
    <w:rsid w:val="28960660"/>
    <w:rsid w:val="29AA55E6"/>
    <w:rsid w:val="29B0496B"/>
    <w:rsid w:val="2A104151"/>
    <w:rsid w:val="2A26637D"/>
    <w:rsid w:val="2AE4323D"/>
    <w:rsid w:val="2AE90D0B"/>
    <w:rsid w:val="2B5E4138"/>
    <w:rsid w:val="2CBA3CF8"/>
    <w:rsid w:val="2CF90995"/>
    <w:rsid w:val="2E556359"/>
    <w:rsid w:val="2E5A1943"/>
    <w:rsid w:val="2E9B2835"/>
    <w:rsid w:val="2F7F5215"/>
    <w:rsid w:val="30133FF6"/>
    <w:rsid w:val="302C60D1"/>
    <w:rsid w:val="304B2155"/>
    <w:rsid w:val="30B30AEE"/>
    <w:rsid w:val="30E56B40"/>
    <w:rsid w:val="31114C4E"/>
    <w:rsid w:val="320C0148"/>
    <w:rsid w:val="324117D6"/>
    <w:rsid w:val="32E37025"/>
    <w:rsid w:val="340F65E3"/>
    <w:rsid w:val="34365375"/>
    <w:rsid w:val="34687AAE"/>
    <w:rsid w:val="356145ED"/>
    <w:rsid w:val="38123277"/>
    <w:rsid w:val="384544C4"/>
    <w:rsid w:val="396E4D42"/>
    <w:rsid w:val="39E0354F"/>
    <w:rsid w:val="3A446203"/>
    <w:rsid w:val="3B9550EA"/>
    <w:rsid w:val="3BD7549F"/>
    <w:rsid w:val="3C4522DE"/>
    <w:rsid w:val="3CAE7844"/>
    <w:rsid w:val="3D7E5067"/>
    <w:rsid w:val="3DE152B4"/>
    <w:rsid w:val="3E144890"/>
    <w:rsid w:val="3E3655E1"/>
    <w:rsid w:val="3E4C4E3B"/>
    <w:rsid w:val="3E750142"/>
    <w:rsid w:val="3F0D46BF"/>
    <w:rsid w:val="3F396808"/>
    <w:rsid w:val="3F645173"/>
    <w:rsid w:val="40175304"/>
    <w:rsid w:val="4040682C"/>
    <w:rsid w:val="40B933FA"/>
    <w:rsid w:val="40E27BC3"/>
    <w:rsid w:val="41606FC6"/>
    <w:rsid w:val="419F49F8"/>
    <w:rsid w:val="42131FBA"/>
    <w:rsid w:val="42AC1E73"/>
    <w:rsid w:val="43506F70"/>
    <w:rsid w:val="435E5C3F"/>
    <w:rsid w:val="43673C5F"/>
    <w:rsid w:val="43741927"/>
    <w:rsid w:val="43DA09DD"/>
    <w:rsid w:val="43E23D5C"/>
    <w:rsid w:val="44E10789"/>
    <w:rsid w:val="44FA2115"/>
    <w:rsid w:val="45956E27"/>
    <w:rsid w:val="45E02130"/>
    <w:rsid w:val="46573319"/>
    <w:rsid w:val="46707E8E"/>
    <w:rsid w:val="47384999"/>
    <w:rsid w:val="47647895"/>
    <w:rsid w:val="47BC37AE"/>
    <w:rsid w:val="47DA6C5B"/>
    <w:rsid w:val="496D5A38"/>
    <w:rsid w:val="49B2046B"/>
    <w:rsid w:val="49FE39E4"/>
    <w:rsid w:val="4A746433"/>
    <w:rsid w:val="4BDD4A4A"/>
    <w:rsid w:val="4C6A5693"/>
    <w:rsid w:val="4C995404"/>
    <w:rsid w:val="4D1A683A"/>
    <w:rsid w:val="4D7C3165"/>
    <w:rsid w:val="4DB43E3A"/>
    <w:rsid w:val="4DBB4249"/>
    <w:rsid w:val="4DBE3EFF"/>
    <w:rsid w:val="4F6B3697"/>
    <w:rsid w:val="505A0787"/>
    <w:rsid w:val="5094063B"/>
    <w:rsid w:val="52785E99"/>
    <w:rsid w:val="52A847D2"/>
    <w:rsid w:val="52C4078A"/>
    <w:rsid w:val="52F50968"/>
    <w:rsid w:val="52FF51E0"/>
    <w:rsid w:val="53392F02"/>
    <w:rsid w:val="535328CC"/>
    <w:rsid w:val="53C6028F"/>
    <w:rsid w:val="53DA6E8A"/>
    <w:rsid w:val="546F0C19"/>
    <w:rsid w:val="563B32BD"/>
    <w:rsid w:val="567676ED"/>
    <w:rsid w:val="56BA0D14"/>
    <w:rsid w:val="57B3145B"/>
    <w:rsid w:val="57DE556A"/>
    <w:rsid w:val="589E05B6"/>
    <w:rsid w:val="58F538B0"/>
    <w:rsid w:val="5A223FDD"/>
    <w:rsid w:val="5A2B4FFD"/>
    <w:rsid w:val="5AA60C85"/>
    <w:rsid w:val="5AC00DB0"/>
    <w:rsid w:val="5B687242"/>
    <w:rsid w:val="5C9A48ED"/>
    <w:rsid w:val="5CC22F56"/>
    <w:rsid w:val="5D812C8C"/>
    <w:rsid w:val="5D8445B6"/>
    <w:rsid w:val="5F0A1204"/>
    <w:rsid w:val="5F2C3B6D"/>
    <w:rsid w:val="5F49220D"/>
    <w:rsid w:val="5FB37ED5"/>
    <w:rsid w:val="609B40F4"/>
    <w:rsid w:val="614C4D6A"/>
    <w:rsid w:val="618F0890"/>
    <w:rsid w:val="619206F7"/>
    <w:rsid w:val="62911495"/>
    <w:rsid w:val="63FE661D"/>
    <w:rsid w:val="649823C8"/>
    <w:rsid w:val="64FE68E1"/>
    <w:rsid w:val="65553220"/>
    <w:rsid w:val="65EC7FB1"/>
    <w:rsid w:val="66E83A99"/>
    <w:rsid w:val="672A10F4"/>
    <w:rsid w:val="67741769"/>
    <w:rsid w:val="68447EFD"/>
    <w:rsid w:val="68F072E0"/>
    <w:rsid w:val="69D06158"/>
    <w:rsid w:val="69E750FD"/>
    <w:rsid w:val="6A0840CA"/>
    <w:rsid w:val="6ACA3C4F"/>
    <w:rsid w:val="6B164AB8"/>
    <w:rsid w:val="6C5B6A0A"/>
    <w:rsid w:val="6CAE17B9"/>
    <w:rsid w:val="6DCC2991"/>
    <w:rsid w:val="6E0030C2"/>
    <w:rsid w:val="6E3F0F7B"/>
    <w:rsid w:val="6FA1202C"/>
    <w:rsid w:val="71FA3DA6"/>
    <w:rsid w:val="72A34A62"/>
    <w:rsid w:val="737A6702"/>
    <w:rsid w:val="73D5612F"/>
    <w:rsid w:val="75F63C00"/>
    <w:rsid w:val="76145509"/>
    <w:rsid w:val="76701180"/>
    <w:rsid w:val="774872D0"/>
    <w:rsid w:val="77630F3B"/>
    <w:rsid w:val="77774756"/>
    <w:rsid w:val="77AB0D10"/>
    <w:rsid w:val="77BD0D05"/>
    <w:rsid w:val="77C26C60"/>
    <w:rsid w:val="78AD47B3"/>
    <w:rsid w:val="79735934"/>
    <w:rsid w:val="79811832"/>
    <w:rsid w:val="798E6AA2"/>
    <w:rsid w:val="7A8B2234"/>
    <w:rsid w:val="7B091294"/>
    <w:rsid w:val="7B3A612E"/>
    <w:rsid w:val="7B7A6639"/>
    <w:rsid w:val="7B7D6956"/>
    <w:rsid w:val="7BB3499A"/>
    <w:rsid w:val="7C3829EE"/>
    <w:rsid w:val="7D352DF5"/>
    <w:rsid w:val="7D74695C"/>
    <w:rsid w:val="7D903A3B"/>
    <w:rsid w:val="7DDD721B"/>
    <w:rsid w:val="7DE6251C"/>
    <w:rsid w:val="7EE039E6"/>
    <w:rsid w:val="7FB420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annotation text"/>
    <w:basedOn w:val="1"/>
    <w:link w:val="17"/>
    <w:autoRedefine/>
    <w:qFormat/>
    <w:uiPriority w:val="0"/>
    <w:pPr>
      <w:jc w:val="left"/>
    </w:pPr>
  </w:style>
  <w:style w:type="paragraph" w:styleId="3">
    <w:name w:val="Body Text Indent"/>
    <w:basedOn w:val="1"/>
    <w:uiPriority w:val="0"/>
    <w:pPr>
      <w:ind w:firstLine="576"/>
    </w:pPr>
    <w:rPr>
      <w:rFonts w:ascii="仿宋_GB2312" w:eastAsia="仿宋_GB2312"/>
      <w:sz w:val="28"/>
      <w:szCs w:val="24"/>
    </w:rPr>
  </w:style>
  <w:style w:type="paragraph" w:styleId="4">
    <w:name w:val="Plain Text"/>
    <w:basedOn w:val="1"/>
    <w:link w:val="18"/>
    <w:uiPriority w:val="99"/>
    <w:rPr>
      <w:rFonts w:ascii="宋体" w:hAnsi="Courier New"/>
    </w:rPr>
  </w:style>
  <w:style w:type="paragraph" w:styleId="5">
    <w:name w:val="Date"/>
    <w:basedOn w:val="1"/>
    <w:next w:val="1"/>
    <w:uiPriority w:val="0"/>
    <w:pPr>
      <w:adjustRightInd w:val="0"/>
      <w:spacing w:line="312" w:lineRule="atLeast"/>
      <w:jc w:val="right"/>
      <w:textAlignment w:val="baseline"/>
    </w:pPr>
    <w:rPr>
      <w:kern w:val="0"/>
    </w:rPr>
  </w:style>
  <w:style w:type="paragraph" w:styleId="6">
    <w:name w:val="Balloon Text"/>
    <w:basedOn w:val="1"/>
    <w:autoRedefine/>
    <w:semiHidden/>
    <w:qFormat/>
    <w:uiPriority w:val="0"/>
    <w:rPr>
      <w:sz w:val="18"/>
      <w:szCs w:val="18"/>
    </w:rPr>
  </w:style>
  <w:style w:type="paragraph" w:styleId="7">
    <w:name w:val="footer"/>
    <w:basedOn w:val="1"/>
    <w:link w:val="19"/>
    <w:uiPriority w:val="0"/>
    <w:pPr>
      <w:tabs>
        <w:tab w:val="center" w:pos="4153"/>
        <w:tab w:val="right" w:pos="8306"/>
      </w:tabs>
      <w:snapToGrid w:val="0"/>
      <w:jc w:val="left"/>
    </w:pPr>
    <w:rPr>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autoRedefine/>
    <w:qFormat/>
    <w:uiPriority w:val="0"/>
    <w:rPr>
      <w:b/>
      <w:bCs/>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autoRedefine/>
    <w:qFormat/>
    <w:uiPriority w:val="0"/>
    <w:rPr>
      <w:color w:val="0000FF"/>
      <w:u w:val="none"/>
    </w:rPr>
  </w:style>
  <w:style w:type="character" w:styleId="15">
    <w:name w:val="Hyperlink"/>
    <w:autoRedefine/>
    <w:qFormat/>
    <w:uiPriority w:val="0"/>
    <w:rPr>
      <w:color w:val="0000FF"/>
      <w:u w:val="none"/>
    </w:rPr>
  </w:style>
  <w:style w:type="character" w:styleId="16">
    <w:name w:val="annotation reference"/>
    <w:autoRedefine/>
    <w:qFormat/>
    <w:uiPriority w:val="0"/>
    <w:rPr>
      <w:sz w:val="21"/>
      <w:szCs w:val="21"/>
    </w:rPr>
  </w:style>
  <w:style w:type="character" w:customStyle="1" w:styleId="17">
    <w:name w:val="批注文字 字符"/>
    <w:link w:val="2"/>
    <w:autoRedefine/>
    <w:qFormat/>
    <w:uiPriority w:val="0"/>
    <w:rPr>
      <w:kern w:val="2"/>
      <w:sz w:val="21"/>
    </w:rPr>
  </w:style>
  <w:style w:type="character" w:customStyle="1" w:styleId="18">
    <w:name w:val="纯文本 字符"/>
    <w:link w:val="4"/>
    <w:autoRedefine/>
    <w:qFormat/>
    <w:uiPriority w:val="99"/>
    <w:rPr>
      <w:rFonts w:ascii="宋体" w:hAnsi="Courier New"/>
      <w:kern w:val="2"/>
      <w:sz w:val="21"/>
    </w:rPr>
  </w:style>
  <w:style w:type="character" w:customStyle="1" w:styleId="19">
    <w:name w:val="页脚 字符"/>
    <w:link w:val="7"/>
    <w:autoRedefine/>
    <w:qFormat/>
    <w:uiPriority w:val="0"/>
    <w:rPr>
      <w:kern w:val="2"/>
      <w:sz w:val="18"/>
      <w:szCs w:val="18"/>
    </w:rPr>
  </w:style>
  <w:style w:type="character" w:customStyle="1" w:styleId="20">
    <w:name w:val="页眉 字符"/>
    <w:link w:val="8"/>
    <w:autoRedefine/>
    <w:qFormat/>
    <w:uiPriority w:val="0"/>
    <w:rPr>
      <w:kern w:val="2"/>
      <w:sz w:val="18"/>
      <w:szCs w:val="18"/>
    </w:rPr>
  </w:style>
  <w:style w:type="character" w:customStyle="1" w:styleId="21">
    <w:name w:val="批注主题 字符"/>
    <w:link w:val="10"/>
    <w:autoRedefine/>
    <w:qFormat/>
    <w:uiPriority w:val="0"/>
    <w:rPr>
      <w:b/>
      <w:bCs/>
      <w:kern w:val="2"/>
      <w:sz w:val="21"/>
    </w:rPr>
  </w:style>
  <w:style w:type="paragraph" w:customStyle="1" w:styleId="22">
    <w:name w:val="CM3"/>
    <w:basedOn w:val="1"/>
    <w:next w:val="1"/>
    <w:autoRedefine/>
    <w:qFormat/>
    <w:uiPriority w:val="0"/>
    <w:pPr>
      <w:autoSpaceDE w:val="0"/>
      <w:autoSpaceDN w:val="0"/>
      <w:adjustRightInd w:val="0"/>
      <w:spacing w:after="468"/>
      <w:jc w:val="left"/>
    </w:pPr>
    <w:rPr>
      <w:rFonts w:ascii="宋体"/>
      <w:kern w:val="0"/>
      <w:sz w:val="24"/>
      <w:szCs w:val="24"/>
    </w:rPr>
  </w:style>
  <w:style w:type="paragraph" w:customStyle="1" w:styleId="23">
    <w:name w:val=" Char Char Char Char Char Char Char Char Char"/>
    <w:basedOn w:val="1"/>
    <w:autoRedefine/>
    <w:qFormat/>
    <w:uiPriority w:val="0"/>
    <w:pPr>
      <w:numPr>
        <w:ilvl w:val="0"/>
        <w:numId w:val="1"/>
      </w:numPr>
    </w:pPr>
    <w:rPr>
      <w:sz w:val="24"/>
      <w:szCs w:val="24"/>
    </w:rPr>
  </w:style>
  <w:style w:type="paragraph" w:customStyle="1" w:styleId="24">
    <w:name w:val="CM2"/>
    <w:basedOn w:val="1"/>
    <w:next w:val="1"/>
    <w:autoRedefine/>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autoRedefine/>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
    <w:name w:val="fontstyle01"/>
    <w:autoRedefine/>
    <w:qFormat/>
    <w:uiPriority w:val="0"/>
    <w:rPr>
      <w:rFonts w:hint="eastAsia" w:ascii="宋体" w:hAnsi="宋体" w:eastAsia="宋体"/>
      <w:color w:val="000000"/>
      <w:sz w:val="24"/>
      <w:szCs w:val="24"/>
    </w:rPr>
  </w:style>
  <w:style w:type="paragraph" w:customStyle="1" w:styleId="27">
    <w:name w:val="CM11"/>
    <w:basedOn w:val="1"/>
    <w:next w:val="1"/>
    <w:autoRedefine/>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autoRedefine/>
    <w:qFormat/>
    <w:uiPriority w:val="0"/>
    <w:pPr>
      <w:spacing w:after="723"/>
    </w:pPr>
    <w:rPr>
      <w:rFonts w:ascii="黑体" w:hAnsi="Times New Roman" w:eastAsia="黑体" w:cs="Times New Roman"/>
      <w:color w:val="auto"/>
    </w:rPr>
  </w:style>
  <w:style w:type="paragraph" w:styleId="29">
    <w:name w:val="List Paragraph"/>
    <w:basedOn w:val="1"/>
    <w:autoRedefine/>
    <w:qFormat/>
    <w:uiPriority w:val="34"/>
    <w:pPr>
      <w:ind w:firstLine="420" w:firstLineChars="200"/>
    </w:pPr>
  </w:style>
  <w:style w:type="paragraph" w:customStyle="1" w:styleId="30">
    <w:name w:val="_Style 29"/>
    <w:autoRedefine/>
    <w:semiHidden/>
    <w:qFormat/>
    <w:uiPriority w:val="99"/>
    <w:rPr>
      <w:rFonts w:ascii="Times New Roman" w:hAnsi="Times New Roman" w:eastAsia="宋体" w:cs="Times New Roman"/>
      <w:kern w:val="2"/>
      <w:sz w:val="21"/>
      <w:lang w:val="en-US" w:eastAsia="zh-CN" w:bidi="ar-SA"/>
    </w:rPr>
  </w:style>
  <w:style w:type="table" w:customStyle="1" w:styleId="31">
    <w:name w:val="立信年报表格 [2级]"/>
    <w:basedOn w:val="11"/>
    <w:autoRedefine/>
    <w:qFormat/>
    <w:uiPriority w:val="0"/>
    <w:pPr>
      <w:jc w:val="both"/>
    </w:pPr>
    <w:rPr>
      <w:rFonts w:ascii="Times New Roman" w:hAnsi="Times New Roman" w:eastAsia="宋体" w:cs="Times New Roman"/>
      <w:color w:val="000000"/>
      <w:sz w:val="18"/>
    </w:rPr>
    <w:tblPr>
      <w:tblBorders>
        <w:top w:val="single" w:color="auto" w:sz="12" w:space="0"/>
        <w:bottom w:val="single" w:color="auto" w:sz="12" w:space="0"/>
        <w:insideH w:val="dotted" w:color="auto" w:sz="4" w:space="0"/>
        <w:insideV w:val="dotted" w:color="auto" w:sz="4" w:space="0"/>
      </w:tblBorders>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character" w:customStyle="1" w:styleId="32">
    <w:name w:val="bpm_system_waiting"/>
    <w:autoRedefine/>
    <w:qFormat/>
    <w:uiPriority w:val="0"/>
    <w:rPr>
      <w:b/>
      <w:bCs/>
      <w:sz w:val="30"/>
      <w:szCs w:val="30"/>
    </w:rPr>
  </w:style>
  <w:style w:type="character" w:customStyle="1" w:styleId="33">
    <w:name w:val="font51"/>
    <w:autoRedefine/>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1507</Words>
  <Characters>8593</Characters>
  <Lines>71</Lines>
  <Paragraphs>20</Paragraphs>
  <TotalTime>9</TotalTime>
  <ScaleCrop>false</ScaleCrop>
  <LinksUpToDate>false</LinksUpToDate>
  <CharactersWithSpaces>10080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2019-12-02T09:03:00Z</dcterms:created>
  <dc:creator>qw</dc:creator>
  <cp:lastModifiedBy>海涛</cp:lastModifiedBy>
  <cp:lastPrinted>2017-05-27T01:49:00Z</cp:lastPrinted>
  <dcterms:modified xsi:type="dcterms:W3CDTF">2024-05-31T07:03:25Z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12BB92638F724F1C8B81236672435A75_13</vt:lpwstr>
  </property>
</Properties>
</file>